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after="0" w:line="360" w:lineRule="auto"/>
        <w:ind w:right="0" w:rightChars="0"/>
        <w:jc w:val="both"/>
        <w:textAlignment w:val="auto"/>
        <w:outlineLvl w:val="9"/>
        <w:rPr>
          <w:rFonts w:hint="eastAsia" w:ascii="Times New Roman" w:hAnsi="Times New Roman" w:eastAsia="仿宋_GB2312" w:cs="仿宋_GB2312"/>
          <w:b/>
          <w:bCs/>
          <w:sz w:val="32"/>
          <w:szCs w:val="32"/>
          <w:highlight w:val="none"/>
          <w:u w:val="none"/>
          <w:lang w:val="en-US" w:eastAsia="zh-CN"/>
        </w:rPr>
      </w:pPr>
      <w:bookmarkStart w:id="2" w:name="_GoBack"/>
      <w:bookmarkEnd w:id="2"/>
      <w:r>
        <w:rPr>
          <w:rFonts w:hint="eastAsia" w:ascii="Times New Roman" w:hAnsi="Times New Roman" w:eastAsia="仿宋_GB2312" w:cs="仿宋_GB2312"/>
          <w:b/>
          <w:bCs/>
          <w:sz w:val="32"/>
          <w:szCs w:val="32"/>
          <w:highlight w:val="none"/>
          <w:u w:val="none"/>
          <w:lang w:eastAsia="zh-CN"/>
        </w:rPr>
        <w:t>附件</w:t>
      </w:r>
      <w:r>
        <w:rPr>
          <w:rFonts w:hint="eastAsia" w:ascii="Times New Roman" w:hAnsi="Times New Roman" w:eastAsia="仿宋_GB2312" w:cs="仿宋_GB2312"/>
          <w:b/>
          <w:bCs/>
          <w:sz w:val="32"/>
          <w:szCs w:val="32"/>
          <w:highlight w:val="none"/>
          <w:u w:val="none"/>
          <w:lang w:val="en-US" w:eastAsia="zh-CN"/>
        </w:rPr>
        <w:t>：</w:t>
      </w:r>
    </w:p>
    <w:p>
      <w:pPr>
        <w:keepNext w:val="0"/>
        <w:keepLines w:val="0"/>
        <w:pageBreakBefore w:val="0"/>
        <w:widowControl/>
        <w:kinsoku/>
        <w:wordWrap/>
        <w:overflowPunct/>
        <w:topLinePunct w:val="0"/>
        <w:autoSpaceDE/>
        <w:autoSpaceDN/>
        <w:bidi w:val="0"/>
        <w:adjustRightInd w:val="0"/>
        <w:snapToGrid/>
        <w:spacing w:after="0" w:line="580" w:lineRule="exact"/>
        <w:ind w:left="0" w:leftChars="0" w:right="0" w:rightChars="0"/>
        <w:jc w:val="center"/>
        <w:textAlignment w:val="auto"/>
        <w:outlineLvl w:val="9"/>
        <w:rPr>
          <w:rFonts w:hint="default" w:ascii="方正小标宋简体" w:hAnsi="宋体" w:eastAsia="方正小标宋简体" w:cs="宋体"/>
          <w:b w:val="0"/>
          <w:bCs w:val="0"/>
          <w:color w:val="000000"/>
          <w:sz w:val="36"/>
          <w:szCs w:val="36"/>
          <w:highlight w:val="none"/>
          <w:u w:val="none"/>
          <w:lang w:val="en-US" w:eastAsia="zh-CN" w:bidi="ar"/>
        </w:rPr>
      </w:pPr>
      <w:r>
        <w:rPr>
          <w:rFonts w:hint="eastAsia" w:ascii="方正小标宋简体" w:hAnsi="宋体" w:eastAsia="方正小标宋简体" w:cs="宋体"/>
          <w:b w:val="0"/>
          <w:bCs w:val="0"/>
          <w:color w:val="000000"/>
          <w:sz w:val="36"/>
          <w:szCs w:val="36"/>
          <w:highlight w:val="none"/>
          <w:u w:val="none"/>
          <w:lang w:bidi="ar"/>
        </w:rPr>
        <w:t>安徽工程大学研究生国家奖学金综合评定实施细则</w:t>
      </w:r>
      <w:r>
        <w:rPr>
          <w:rFonts w:hint="eastAsia" w:ascii="方正小标宋简体" w:hAnsi="宋体" w:eastAsia="方正小标宋简体" w:cs="宋体"/>
          <w:b w:val="0"/>
          <w:bCs w:val="0"/>
          <w:color w:val="000000"/>
          <w:sz w:val="36"/>
          <w:szCs w:val="36"/>
          <w:highlight w:val="none"/>
          <w:u w:val="none"/>
          <w:lang w:eastAsia="zh-CN" w:bidi="ar"/>
        </w:rPr>
        <w:t>（修订）</w:t>
      </w:r>
    </w:p>
    <w:p>
      <w:pPr>
        <w:keepNext w:val="0"/>
        <w:keepLines w:val="0"/>
        <w:pageBreakBefore w:val="0"/>
        <w:widowControl/>
        <w:kinsoku/>
        <w:wordWrap/>
        <w:overflowPunct/>
        <w:topLinePunct w:val="0"/>
        <w:autoSpaceDE/>
        <w:autoSpaceDN/>
        <w:bidi w:val="0"/>
        <w:adjustRightInd w:val="0"/>
        <w:snapToGrid/>
        <w:spacing w:after="0" w:line="580" w:lineRule="exact"/>
        <w:ind w:left="0" w:leftChars="0" w:right="0" w:rightChars="0"/>
        <w:jc w:val="center"/>
        <w:textAlignment w:val="auto"/>
        <w:outlineLvl w:val="9"/>
        <w:rPr>
          <w:rFonts w:hint="eastAsia" w:ascii="方正小标宋简体" w:hAnsi="宋体" w:eastAsia="方正小标宋简体" w:cs="宋体"/>
          <w:b w:val="0"/>
          <w:bCs w:val="0"/>
          <w:color w:val="000000"/>
          <w:sz w:val="44"/>
          <w:szCs w:val="44"/>
          <w:highlight w:val="none"/>
          <w:u w:val="none"/>
          <w:lang w:bidi="ar"/>
        </w:rPr>
      </w:pP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jc w:val="center"/>
        <w:textAlignment w:val="auto"/>
        <w:outlineLvl w:val="9"/>
        <w:rPr>
          <w:rFonts w:hint="eastAsia" w:ascii="Times New Roman" w:hAnsi="Times New Roman" w:eastAsia="仿宋_GB2312" w:cs="仿宋_GB2312"/>
          <w:b/>
          <w:bCs/>
          <w:kern w:val="2"/>
          <w:sz w:val="32"/>
          <w:szCs w:val="32"/>
          <w:highlight w:val="none"/>
          <w:u w:val="none"/>
        </w:rPr>
      </w:pPr>
      <w:r>
        <w:rPr>
          <w:rFonts w:hint="eastAsia" w:ascii="Times New Roman" w:hAnsi="Times New Roman" w:eastAsia="仿宋_GB2312" w:cs="仿宋_GB2312"/>
          <w:b/>
          <w:bCs/>
          <w:kern w:val="2"/>
          <w:sz w:val="32"/>
          <w:szCs w:val="32"/>
          <w:highlight w:val="none"/>
          <w:u w:val="none"/>
        </w:rPr>
        <w:t>第一章 总则</w:t>
      </w:r>
    </w:p>
    <w:p>
      <w:pPr>
        <w:keepNext w:val="0"/>
        <w:keepLines w:val="0"/>
        <w:pageBreakBefore w:val="0"/>
        <w:widowControl/>
        <w:kinsoku/>
        <w:wordWrap/>
        <w:overflowPunct/>
        <w:topLinePunct w:val="0"/>
        <w:autoSpaceDE/>
        <w:autoSpaceDN/>
        <w:bidi w:val="0"/>
        <w:spacing w:after="0" w:line="360" w:lineRule="auto"/>
        <w:ind w:left="0" w:leftChars="0" w:right="0" w:rightChars="0" w:firstLine="643" w:firstLineChars="200"/>
        <w:jc w:val="both"/>
        <w:textAlignment w:val="auto"/>
        <w:outlineLvl w:val="9"/>
        <w:rPr>
          <w:rFonts w:hint="default" w:ascii="Times New Roman" w:hAnsi="Times New Roman" w:eastAsia="仿宋_GB2312" w:cs="仿宋_GB2312"/>
          <w:b/>
          <w:bCs/>
          <w:sz w:val="32"/>
          <w:szCs w:val="32"/>
          <w:highlight w:val="none"/>
          <w:u w:val="none"/>
        </w:rPr>
      </w:pPr>
      <w:r>
        <w:rPr>
          <w:rFonts w:hint="eastAsia" w:ascii="Times New Roman" w:hAnsi="Times New Roman" w:eastAsia="仿宋_GB2312" w:cs="仿宋_GB2312"/>
          <w:b/>
          <w:bCs/>
          <w:sz w:val="32"/>
          <w:szCs w:val="32"/>
          <w:highlight w:val="none"/>
          <w:u w:val="none"/>
        </w:rPr>
        <w:t>第一条</w:t>
      </w:r>
      <w:r>
        <w:rPr>
          <w:rFonts w:hint="eastAsia" w:ascii="Times New Roman" w:hAnsi="Times New Roman" w:eastAsia="仿宋_GB2312" w:cs="仿宋_GB2312"/>
          <w:sz w:val="32"/>
          <w:szCs w:val="32"/>
          <w:highlight w:val="none"/>
          <w:u w:val="none"/>
        </w:rPr>
        <w:t xml:space="preserve"> 为了做好我校研究生国家奖学金的评审工作，</w:t>
      </w:r>
      <w:r>
        <w:rPr>
          <w:rFonts w:hint="eastAsia" w:ascii="仿宋_GB2312" w:hAnsi="仿宋_GB2312" w:eastAsia="仿宋_GB2312" w:cs="仿宋_GB2312"/>
          <w:color w:val="000000"/>
          <w:sz w:val="32"/>
          <w:szCs w:val="32"/>
          <w:highlight w:val="none"/>
          <w:u w:val="none"/>
          <w:lang w:val="zh-CN"/>
        </w:rPr>
        <w:t>根据</w:t>
      </w:r>
      <w:r>
        <w:rPr>
          <w:rFonts w:hint="eastAsia" w:ascii="仿宋_GB2312" w:hAnsi="仿宋_GB2312" w:eastAsia="仿宋_GB2312" w:cs="仿宋_GB2312"/>
          <w:color w:val="000000"/>
          <w:sz w:val="32"/>
          <w:szCs w:val="32"/>
          <w:highlight w:val="none"/>
          <w:u w:val="none"/>
        </w:rPr>
        <w:t>《财政部 教育部 人力资源社会保障部 退役军人部 中央军委国防动员部关于印发〈学生资助资金管理办法〉的通知》</w:t>
      </w:r>
      <w:r>
        <w:rPr>
          <w:rFonts w:hint="eastAsia" w:ascii="仿宋_GB2312" w:hAnsi="仿宋_GB2312" w:eastAsia="仿宋_GB2312" w:cs="仿宋_GB2312"/>
          <w:i w:val="0"/>
          <w:iCs w:val="0"/>
          <w:color w:val="000000"/>
          <w:sz w:val="32"/>
          <w:szCs w:val="32"/>
          <w:highlight w:val="none"/>
          <w:u w:val="none"/>
        </w:rPr>
        <w:t>（财教〔20</w:t>
      </w:r>
      <w:r>
        <w:rPr>
          <w:rFonts w:hint="eastAsia" w:ascii="仿宋_GB2312" w:hAnsi="仿宋_GB2312" w:eastAsia="仿宋_GB2312" w:cs="仿宋_GB2312"/>
          <w:i w:val="0"/>
          <w:iCs w:val="0"/>
          <w:color w:val="000000"/>
          <w:sz w:val="32"/>
          <w:szCs w:val="32"/>
          <w:highlight w:val="none"/>
          <w:u w:val="none"/>
          <w:lang w:val="en-US" w:eastAsia="zh-CN"/>
        </w:rPr>
        <w:t>21</w:t>
      </w:r>
      <w:r>
        <w:rPr>
          <w:rFonts w:hint="eastAsia" w:ascii="仿宋_GB2312" w:hAnsi="仿宋_GB2312" w:eastAsia="仿宋_GB2312" w:cs="仿宋_GB2312"/>
          <w:i w:val="0"/>
          <w:iCs w:val="0"/>
          <w:color w:val="000000"/>
          <w:sz w:val="32"/>
          <w:szCs w:val="32"/>
          <w:highlight w:val="none"/>
          <w:u w:val="none"/>
        </w:rPr>
        <w:t>〕</w:t>
      </w:r>
      <w:r>
        <w:rPr>
          <w:rFonts w:hint="eastAsia" w:ascii="仿宋_GB2312" w:hAnsi="仿宋_GB2312" w:eastAsia="仿宋_GB2312" w:cs="仿宋_GB2312"/>
          <w:i w:val="0"/>
          <w:iCs w:val="0"/>
          <w:color w:val="000000"/>
          <w:sz w:val="32"/>
          <w:szCs w:val="32"/>
          <w:highlight w:val="none"/>
          <w:u w:val="none"/>
          <w:lang w:val="en-US" w:eastAsia="zh-CN"/>
        </w:rPr>
        <w:t>310</w:t>
      </w:r>
      <w:r>
        <w:rPr>
          <w:rFonts w:hint="eastAsia" w:ascii="仿宋_GB2312" w:hAnsi="仿宋_GB2312" w:eastAsia="仿宋_GB2312" w:cs="仿宋_GB2312"/>
          <w:i w:val="0"/>
          <w:iCs w:val="0"/>
          <w:color w:val="000000"/>
          <w:sz w:val="32"/>
          <w:szCs w:val="32"/>
          <w:highlight w:val="none"/>
          <w:u w:val="none"/>
        </w:rPr>
        <w:t>号）</w:t>
      </w:r>
      <w:r>
        <w:rPr>
          <w:rFonts w:hint="eastAsia" w:ascii="仿宋_GB2312" w:hAnsi="仿宋_GB2312" w:eastAsia="仿宋_GB2312" w:cs="仿宋_GB2312"/>
          <w:color w:val="000000"/>
          <w:sz w:val="32"/>
          <w:szCs w:val="32"/>
          <w:highlight w:val="none"/>
          <w:u w:val="none"/>
        </w:rPr>
        <w:t>、《普通高等学校学生管理规定》（中华人民共和国教育部令第41号）和《安徽省财政厅 安徽省教育厅 安徽省人力资源和社会保障厅 安徽省退役军人事务厅 安徽省军区动员局关于印发〈安徽省学生资助资金管理实施办法〉的通知》（皖财教〔20</w:t>
      </w:r>
      <w:r>
        <w:rPr>
          <w:rFonts w:hint="eastAsia" w:ascii="仿宋_GB2312" w:hAnsi="仿宋_GB2312" w:eastAsia="仿宋_GB2312" w:cs="仿宋_GB2312"/>
          <w:color w:val="000000"/>
          <w:sz w:val="32"/>
          <w:szCs w:val="32"/>
          <w:highlight w:val="none"/>
          <w:u w:val="none"/>
          <w:lang w:val="en-US" w:eastAsia="zh-CN"/>
        </w:rPr>
        <w:t>23</w:t>
      </w:r>
      <w:r>
        <w:rPr>
          <w:rFonts w:hint="eastAsia" w:ascii="仿宋_GB2312" w:hAnsi="仿宋_GB2312" w:eastAsia="仿宋_GB2312" w:cs="仿宋_GB2312"/>
          <w:color w:val="000000"/>
          <w:sz w:val="32"/>
          <w:szCs w:val="32"/>
          <w:highlight w:val="none"/>
          <w:u w:val="none"/>
        </w:rPr>
        <w:t>〕</w:t>
      </w:r>
      <w:r>
        <w:rPr>
          <w:rFonts w:hint="eastAsia" w:ascii="仿宋_GB2312" w:hAnsi="仿宋_GB2312" w:eastAsia="仿宋_GB2312" w:cs="仿宋_GB2312"/>
          <w:color w:val="000000"/>
          <w:sz w:val="32"/>
          <w:szCs w:val="32"/>
          <w:highlight w:val="none"/>
          <w:u w:val="none"/>
          <w:lang w:val="en-US" w:eastAsia="zh-CN"/>
        </w:rPr>
        <w:t>508</w:t>
      </w:r>
      <w:r>
        <w:rPr>
          <w:rFonts w:hint="eastAsia" w:ascii="仿宋_GB2312" w:hAnsi="仿宋_GB2312" w:eastAsia="仿宋_GB2312" w:cs="仿宋_GB2312"/>
          <w:color w:val="000000"/>
          <w:sz w:val="32"/>
          <w:szCs w:val="32"/>
          <w:highlight w:val="none"/>
          <w:u w:val="none"/>
        </w:rPr>
        <w:t>号）等文件精神</w:t>
      </w:r>
      <w:r>
        <w:rPr>
          <w:rFonts w:hint="eastAsia" w:ascii="Times New Roman" w:hAnsi="Times New Roman" w:eastAsia="仿宋_GB2312" w:cs="仿宋_GB2312"/>
          <w:sz w:val="32"/>
          <w:szCs w:val="32"/>
          <w:highlight w:val="none"/>
          <w:u w:val="none"/>
        </w:rPr>
        <w:t>，按照公开、公平、公正和择优的原则，结合我校实际，特制定本实施细则。</w:t>
      </w:r>
      <w:r>
        <w:rPr>
          <w:rFonts w:hint="eastAsia" w:ascii="Times New Roman" w:hAnsi="Times New Roman" w:eastAsia="仿宋_GB2312" w:cs="仿宋_GB2312"/>
          <w:sz w:val="32"/>
          <w:szCs w:val="32"/>
          <w:highlight w:val="none"/>
          <w:u w:val="none"/>
          <w:lang w:val="en-US" w:eastAsia="zh-CN"/>
        </w:rPr>
        <w:t>各培养单位可结合本单位实际情况制定细则。</w:t>
      </w:r>
    </w:p>
    <w:p>
      <w:pPr>
        <w:keepNext w:val="0"/>
        <w:keepLines w:val="0"/>
        <w:pageBreakBefore w:val="0"/>
        <w:widowControl/>
        <w:kinsoku/>
        <w:wordWrap/>
        <w:overflowPunct/>
        <w:topLinePunct w:val="0"/>
        <w:autoSpaceDE/>
        <w:autoSpaceDN/>
        <w:bidi w:val="0"/>
        <w:spacing w:after="0" w:line="360" w:lineRule="auto"/>
        <w:ind w:left="0" w:leftChars="0" w:right="0" w:rightChars="0" w:firstLine="643" w:firstLineChars="200"/>
        <w:jc w:val="both"/>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b/>
          <w:bCs/>
          <w:sz w:val="32"/>
          <w:szCs w:val="32"/>
          <w:highlight w:val="none"/>
          <w:u w:val="none"/>
        </w:rPr>
        <w:t>第二条</w:t>
      </w:r>
      <w:r>
        <w:rPr>
          <w:rFonts w:hint="eastAsia" w:ascii="Times New Roman" w:hAnsi="Times New Roman" w:eastAsia="仿宋_GB2312" w:cs="仿宋_GB2312"/>
          <w:sz w:val="32"/>
          <w:szCs w:val="32"/>
          <w:highlight w:val="none"/>
          <w:u w:val="none"/>
        </w:rPr>
        <w:t xml:space="preserve"> </w:t>
      </w:r>
      <w:r>
        <w:rPr>
          <w:rFonts w:hint="eastAsia" w:ascii="Times New Roman" w:hAnsi="Times New Roman" w:eastAsia="仿宋_GB2312" w:cs="仿宋_GB2312"/>
          <w:sz w:val="32"/>
          <w:szCs w:val="32"/>
          <w:highlight w:val="none"/>
          <w:u w:val="none"/>
          <w:lang w:val="en-US" w:eastAsia="zh-CN"/>
        </w:rPr>
        <w:t>研究生国家奖学金，用于</w:t>
      </w:r>
      <w:r>
        <w:rPr>
          <w:rFonts w:hint="eastAsia" w:ascii="Times New Roman" w:hAnsi="Times New Roman" w:eastAsia="仿宋_GB2312" w:cs="仿宋_GB2312"/>
          <w:sz w:val="32"/>
          <w:szCs w:val="32"/>
          <w:highlight w:val="none"/>
          <w:u w:val="none"/>
        </w:rPr>
        <w:t>奖励特别优秀的全日制在校研究生，硕士生每生每年 20000 元。具体名额由财政部、教育部确定。</w:t>
      </w:r>
    </w:p>
    <w:p>
      <w:pPr>
        <w:keepNext w:val="0"/>
        <w:keepLines w:val="0"/>
        <w:pageBreakBefore w:val="0"/>
        <w:widowControl/>
        <w:kinsoku/>
        <w:wordWrap/>
        <w:overflowPunct/>
        <w:topLinePunct w:val="0"/>
        <w:autoSpaceDE/>
        <w:autoSpaceDN/>
        <w:bidi w:val="0"/>
        <w:spacing w:after="0" w:line="360" w:lineRule="auto"/>
        <w:ind w:left="0" w:leftChars="0" w:right="0" w:rightChars="0" w:firstLine="643" w:firstLineChars="200"/>
        <w:jc w:val="both"/>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b/>
          <w:bCs/>
          <w:sz w:val="32"/>
          <w:szCs w:val="32"/>
          <w:highlight w:val="none"/>
          <w:u w:val="none"/>
        </w:rPr>
        <w:t>第三条</w:t>
      </w:r>
      <w:r>
        <w:rPr>
          <w:rFonts w:hint="eastAsia" w:ascii="Times New Roman" w:hAnsi="Times New Roman" w:eastAsia="仿宋_GB2312" w:cs="仿宋_GB2312"/>
          <w:sz w:val="32"/>
          <w:szCs w:val="32"/>
          <w:highlight w:val="none"/>
          <w:u w:val="none"/>
        </w:rPr>
        <w:t xml:space="preserve"> 研究生国家奖学金申请对象为基本学制内的全日制注册在籍的在校研究生，含全日制专业学位研究生，不含定向、委培等人事档案不转入的培养类型学生。</w:t>
      </w:r>
    </w:p>
    <w:p>
      <w:pPr>
        <w:keepNext w:val="0"/>
        <w:keepLines w:val="0"/>
        <w:pageBreakBefore w:val="0"/>
        <w:widowControl/>
        <w:kinsoku/>
        <w:wordWrap/>
        <w:overflowPunct/>
        <w:topLinePunct w:val="0"/>
        <w:autoSpaceDE/>
        <w:autoSpaceDN/>
        <w:bidi w:val="0"/>
        <w:spacing w:after="0" w:line="360" w:lineRule="auto"/>
        <w:ind w:left="0" w:leftChars="0" w:right="0" w:rightChars="0" w:firstLine="643" w:firstLineChars="200"/>
        <w:jc w:val="both"/>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b/>
          <w:bCs/>
          <w:sz w:val="32"/>
          <w:szCs w:val="32"/>
          <w:highlight w:val="none"/>
          <w:u w:val="none"/>
        </w:rPr>
        <w:t>第四条</w:t>
      </w:r>
      <w:r>
        <w:rPr>
          <w:rFonts w:hint="eastAsia" w:ascii="Times New Roman" w:hAnsi="Times New Roman" w:eastAsia="仿宋_GB2312" w:cs="仿宋_GB2312"/>
          <w:sz w:val="32"/>
          <w:szCs w:val="32"/>
          <w:highlight w:val="none"/>
          <w:u w:val="none"/>
        </w:rPr>
        <w:t xml:space="preserve"> 我校研究生国家奖学金每年奖励的名额由上级主管部门下达。学校根据下达的研究生国家奖学金名额，结合学科、专业以及上一年度研究生国家奖学金执行情况，确定各学院研究生国家奖学金年度限报名额。</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jc w:val="center"/>
        <w:textAlignment w:val="auto"/>
        <w:outlineLvl w:val="9"/>
        <w:rPr>
          <w:rFonts w:hint="eastAsia" w:ascii="Times New Roman" w:hAnsi="Times New Roman" w:eastAsia="仿宋_GB2312" w:cs="仿宋_GB2312"/>
          <w:b/>
          <w:bCs/>
          <w:kern w:val="2"/>
          <w:sz w:val="32"/>
          <w:szCs w:val="32"/>
          <w:highlight w:val="none"/>
          <w:u w:val="none"/>
        </w:rPr>
      </w:pPr>
      <w:r>
        <w:rPr>
          <w:rFonts w:hint="eastAsia" w:ascii="Times New Roman" w:hAnsi="Times New Roman" w:eastAsia="仿宋_GB2312" w:cs="仿宋_GB2312"/>
          <w:b/>
          <w:bCs/>
          <w:kern w:val="2"/>
          <w:sz w:val="32"/>
          <w:szCs w:val="32"/>
          <w:highlight w:val="none"/>
          <w:u w:val="none"/>
        </w:rPr>
        <w:t>第二章  评定项目与权重</w:t>
      </w:r>
    </w:p>
    <w:p>
      <w:pPr>
        <w:keepNext w:val="0"/>
        <w:keepLines w:val="0"/>
        <w:pageBreakBefore w:val="0"/>
        <w:widowControl/>
        <w:kinsoku/>
        <w:wordWrap/>
        <w:overflowPunct/>
        <w:topLinePunct w:val="0"/>
        <w:autoSpaceDE/>
        <w:autoSpaceDN/>
        <w:bidi w:val="0"/>
        <w:spacing w:after="0" w:line="360" w:lineRule="auto"/>
        <w:ind w:left="0" w:leftChars="0" w:right="0" w:rightChars="0" w:firstLine="643" w:firstLineChars="200"/>
        <w:jc w:val="both"/>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b/>
          <w:bCs/>
          <w:sz w:val="32"/>
          <w:szCs w:val="32"/>
          <w:highlight w:val="none"/>
          <w:u w:val="none"/>
        </w:rPr>
        <w:t>第五条</w:t>
      </w:r>
      <w:r>
        <w:rPr>
          <w:rFonts w:hint="eastAsia" w:ascii="Times New Roman" w:hAnsi="Times New Roman" w:eastAsia="仿宋_GB2312" w:cs="仿宋_GB2312"/>
          <w:sz w:val="32"/>
          <w:szCs w:val="32"/>
          <w:highlight w:val="none"/>
          <w:u w:val="none"/>
        </w:rPr>
        <w:t xml:space="preserve"> 我校研究生国家奖学金综合评定项目与权重见下表：</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项目</w:t>
            </w:r>
          </w:p>
        </w:tc>
        <w:tc>
          <w:tcPr>
            <w:tcW w:w="2841"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学术型硕士权重（%）</w:t>
            </w:r>
          </w:p>
        </w:tc>
        <w:tc>
          <w:tcPr>
            <w:tcW w:w="2841"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专业型硕士权重（%）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综合素质A</w:t>
            </w:r>
          </w:p>
        </w:tc>
        <w:tc>
          <w:tcPr>
            <w:tcW w:w="2841"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10</w:t>
            </w:r>
          </w:p>
        </w:tc>
        <w:tc>
          <w:tcPr>
            <w:tcW w:w="2841"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学习成绩B</w:t>
            </w:r>
          </w:p>
        </w:tc>
        <w:tc>
          <w:tcPr>
            <w:tcW w:w="2841"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30</w:t>
            </w:r>
          </w:p>
        </w:tc>
        <w:tc>
          <w:tcPr>
            <w:tcW w:w="2841"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科研成果C</w:t>
            </w:r>
          </w:p>
        </w:tc>
        <w:tc>
          <w:tcPr>
            <w:tcW w:w="2841"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40</w:t>
            </w:r>
          </w:p>
        </w:tc>
        <w:tc>
          <w:tcPr>
            <w:tcW w:w="2841"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创新实践能力D</w:t>
            </w:r>
          </w:p>
        </w:tc>
        <w:tc>
          <w:tcPr>
            <w:tcW w:w="2841"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20</w:t>
            </w:r>
          </w:p>
        </w:tc>
        <w:tc>
          <w:tcPr>
            <w:tcW w:w="2841"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合计</w:t>
            </w:r>
          </w:p>
        </w:tc>
        <w:tc>
          <w:tcPr>
            <w:tcW w:w="2841"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100</w:t>
            </w:r>
          </w:p>
        </w:tc>
        <w:tc>
          <w:tcPr>
            <w:tcW w:w="2841"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100</w:t>
            </w:r>
          </w:p>
        </w:tc>
      </w:tr>
    </w:tbl>
    <w:p>
      <w:pPr>
        <w:keepNext w:val="0"/>
        <w:keepLines w:val="0"/>
        <w:pageBreakBefore w:val="0"/>
        <w:widowControl/>
        <w:kinsoku/>
        <w:wordWrap/>
        <w:overflowPunct/>
        <w:topLinePunct w:val="0"/>
        <w:autoSpaceDE/>
        <w:autoSpaceDN/>
        <w:bidi w:val="0"/>
        <w:spacing w:after="0" w:line="360" w:lineRule="auto"/>
        <w:ind w:left="0" w:leftChars="0" w:right="0" w:rightChars="0"/>
        <w:textAlignment w:val="auto"/>
        <w:outlineLvl w:val="9"/>
        <w:rPr>
          <w:rFonts w:hint="eastAsia" w:ascii="Times New Roman" w:hAnsi="Times New Roman" w:eastAsia="仿宋_GB2312" w:cs="仿宋_GB2312"/>
          <w:sz w:val="32"/>
          <w:szCs w:val="32"/>
          <w:highlight w:val="none"/>
          <w:u w:val="none"/>
          <w:lang w:val="en-US" w:eastAsia="zh-CN"/>
        </w:rPr>
      </w:pPr>
      <w:r>
        <w:rPr>
          <w:rFonts w:hint="eastAsia" w:ascii="Times New Roman" w:hAnsi="Times New Roman" w:eastAsia="仿宋_GB2312" w:cs="仿宋_GB2312"/>
          <w:sz w:val="32"/>
          <w:szCs w:val="32"/>
          <w:highlight w:val="none"/>
          <w:u w:val="none"/>
          <w:lang w:val="en-US" w:eastAsia="zh-CN"/>
        </w:rPr>
        <w:t>有关说明：</w:t>
      </w:r>
    </w:p>
    <w:p>
      <w:pPr>
        <w:keepNext w:val="0"/>
        <w:keepLines w:val="0"/>
        <w:pageBreakBefore w:val="0"/>
        <w:widowControl/>
        <w:numPr>
          <w:ilvl w:val="0"/>
          <w:numId w:val="0"/>
        </w:numPr>
        <w:kinsoku/>
        <w:wordWrap/>
        <w:overflowPunct/>
        <w:topLinePunct w:val="0"/>
        <w:autoSpaceDE/>
        <w:autoSpaceDN/>
        <w:bidi w:val="0"/>
        <w:spacing w:after="0" w:line="360" w:lineRule="auto"/>
        <w:ind w:left="0" w:leftChars="0" w:right="0" w:rightChars="0" w:firstLine="640" w:firstLineChars="200"/>
        <w:textAlignment w:val="auto"/>
        <w:outlineLvl w:val="9"/>
        <w:rPr>
          <w:rFonts w:hint="eastAsia" w:ascii="Times New Roman" w:hAnsi="Times New Roman" w:eastAsia="仿宋_GB2312" w:cs="仿宋_GB2312"/>
          <w:sz w:val="32"/>
          <w:szCs w:val="32"/>
          <w:highlight w:val="none"/>
          <w:u w:val="none"/>
          <w:lang w:val="en-US" w:eastAsia="zh-CN"/>
        </w:rPr>
      </w:pPr>
      <w:r>
        <w:rPr>
          <w:rFonts w:hint="eastAsia" w:ascii="Times New Roman" w:hAnsi="Times New Roman" w:eastAsia="仿宋_GB2312" w:cs="仿宋_GB2312"/>
          <w:sz w:val="32"/>
          <w:szCs w:val="32"/>
          <w:highlight w:val="none"/>
          <w:u w:val="none"/>
          <w:lang w:val="en-US" w:eastAsia="zh-CN"/>
        </w:rPr>
        <w:t>1.所涉及的成绩均以安徽工程大学为第一归口单位且在读研期间获得；</w:t>
      </w:r>
    </w:p>
    <w:p>
      <w:pPr>
        <w:keepNext w:val="0"/>
        <w:keepLines w:val="0"/>
        <w:pageBreakBefore w:val="0"/>
        <w:widowControl/>
        <w:numPr>
          <w:ilvl w:val="0"/>
          <w:numId w:val="0"/>
        </w:numPr>
        <w:kinsoku/>
        <w:wordWrap/>
        <w:overflowPunct/>
        <w:topLinePunct w:val="0"/>
        <w:autoSpaceDE/>
        <w:autoSpaceDN/>
        <w:bidi w:val="0"/>
        <w:spacing w:after="0" w:line="360" w:lineRule="auto"/>
        <w:ind w:left="0" w:leftChars="0" w:right="0" w:rightChars="0" w:firstLine="640" w:firstLineChars="200"/>
        <w:textAlignment w:val="auto"/>
        <w:outlineLvl w:val="9"/>
        <w:rPr>
          <w:rFonts w:hint="default" w:ascii="Times New Roman" w:hAnsi="Times New Roman" w:eastAsia="仿宋_GB2312" w:cs="仿宋_GB2312"/>
          <w:sz w:val="32"/>
          <w:szCs w:val="32"/>
          <w:highlight w:val="none"/>
          <w:u w:val="none"/>
          <w:lang w:val="en-US" w:eastAsia="zh-CN"/>
        </w:rPr>
      </w:pPr>
      <w:r>
        <w:rPr>
          <w:rFonts w:hint="eastAsia" w:ascii="Times New Roman" w:hAnsi="Times New Roman" w:eastAsia="仿宋_GB2312" w:cs="仿宋_GB2312"/>
          <w:sz w:val="32"/>
          <w:szCs w:val="32"/>
          <w:highlight w:val="none"/>
          <w:u w:val="none"/>
          <w:lang w:val="en-US" w:eastAsia="zh-CN"/>
        </w:rPr>
        <w:t>2.成果计算截止日期为当年评审通知下发之日，通知下发之日后所取得的成果只能在下一学年国家奖学金评选中使用。</w:t>
      </w:r>
    </w:p>
    <w:p>
      <w:pPr>
        <w:keepNext w:val="0"/>
        <w:keepLines w:val="0"/>
        <w:pageBreakBefore w:val="0"/>
        <w:widowControl/>
        <w:kinsoku/>
        <w:wordWrap/>
        <w:overflowPunct/>
        <w:topLinePunct w:val="0"/>
        <w:autoSpaceDE/>
        <w:autoSpaceDN/>
        <w:bidi w:val="0"/>
        <w:spacing w:after="0" w:line="360" w:lineRule="auto"/>
        <w:ind w:left="0" w:leftChars="0" w:right="0" w:rightChars="0" w:firstLine="643" w:firstLineChars="200"/>
        <w:jc w:val="both"/>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b/>
          <w:bCs/>
          <w:sz w:val="32"/>
          <w:szCs w:val="32"/>
          <w:highlight w:val="none"/>
          <w:u w:val="none"/>
        </w:rPr>
        <w:t>第六条</w:t>
      </w:r>
      <w:r>
        <w:rPr>
          <w:rFonts w:hint="eastAsia" w:ascii="Times New Roman" w:hAnsi="Times New Roman" w:eastAsia="仿宋_GB2312" w:cs="仿宋_GB2312"/>
          <w:sz w:val="32"/>
          <w:szCs w:val="32"/>
          <w:highlight w:val="none"/>
          <w:u w:val="none"/>
        </w:rPr>
        <w:t xml:space="preserve"> 研究生国家奖学金评审的基本依据为：参评学术型研究生综合总分S＝A×0.1</w:t>
      </w:r>
      <w:r>
        <w:rPr>
          <w:rFonts w:hint="eastAsia" w:ascii="Times New Roman" w:hAnsi="Times New Roman" w:eastAsia="仿宋_GB2312" w:cs="仿宋_GB2312"/>
          <w:sz w:val="32"/>
          <w:szCs w:val="32"/>
          <w:highlight w:val="none"/>
          <w:u w:val="none"/>
          <w:lang w:val="en-US" w:eastAsia="zh-CN"/>
        </w:rPr>
        <w:t>0</w:t>
      </w:r>
      <w:r>
        <w:rPr>
          <w:rFonts w:hint="eastAsia" w:ascii="Times New Roman" w:hAnsi="Times New Roman" w:eastAsia="仿宋_GB2312" w:cs="仿宋_GB2312"/>
          <w:sz w:val="32"/>
          <w:szCs w:val="32"/>
          <w:highlight w:val="none"/>
          <w:u w:val="none"/>
        </w:rPr>
        <w:t>+ B×0.30+ C×0.4</w:t>
      </w:r>
      <w:r>
        <w:rPr>
          <w:rFonts w:hint="eastAsia" w:ascii="Times New Roman" w:hAnsi="Times New Roman" w:eastAsia="仿宋_GB2312" w:cs="仿宋_GB2312"/>
          <w:sz w:val="32"/>
          <w:szCs w:val="32"/>
          <w:highlight w:val="none"/>
          <w:u w:val="none"/>
          <w:lang w:val="en-US" w:eastAsia="zh-CN"/>
        </w:rPr>
        <w:t>0</w:t>
      </w:r>
      <w:r>
        <w:rPr>
          <w:rFonts w:hint="eastAsia" w:ascii="Times New Roman" w:hAnsi="Times New Roman" w:eastAsia="仿宋_GB2312" w:cs="仿宋_GB2312"/>
          <w:sz w:val="32"/>
          <w:szCs w:val="32"/>
          <w:highlight w:val="none"/>
          <w:u w:val="none"/>
        </w:rPr>
        <w:t>+ D×0.2</w:t>
      </w:r>
      <w:r>
        <w:rPr>
          <w:rFonts w:hint="eastAsia" w:ascii="Times New Roman" w:hAnsi="Times New Roman" w:eastAsia="仿宋_GB2312" w:cs="仿宋_GB2312"/>
          <w:sz w:val="32"/>
          <w:szCs w:val="32"/>
          <w:highlight w:val="none"/>
          <w:u w:val="none"/>
          <w:lang w:val="en-US" w:eastAsia="zh-CN"/>
        </w:rPr>
        <w:t>0</w:t>
      </w:r>
      <w:r>
        <w:rPr>
          <w:rFonts w:hint="eastAsia" w:ascii="Times New Roman" w:hAnsi="Times New Roman" w:eastAsia="仿宋_GB2312" w:cs="仿宋_GB2312"/>
          <w:sz w:val="32"/>
          <w:szCs w:val="32"/>
          <w:highlight w:val="none"/>
          <w:u w:val="none"/>
        </w:rPr>
        <w:t>，参评专业型研究生综合总分S＝A×0.10+ B×0.30+ C×0.3</w:t>
      </w:r>
      <w:r>
        <w:rPr>
          <w:rFonts w:hint="eastAsia" w:ascii="Times New Roman" w:hAnsi="Times New Roman" w:eastAsia="仿宋_GB2312" w:cs="仿宋_GB2312"/>
          <w:sz w:val="32"/>
          <w:szCs w:val="32"/>
          <w:highlight w:val="none"/>
          <w:u w:val="none"/>
          <w:lang w:val="en-US" w:eastAsia="zh-CN"/>
        </w:rPr>
        <w:t>0</w:t>
      </w:r>
      <w:r>
        <w:rPr>
          <w:rFonts w:hint="eastAsia" w:ascii="Times New Roman" w:hAnsi="Times New Roman" w:eastAsia="仿宋_GB2312" w:cs="仿宋_GB2312"/>
          <w:sz w:val="32"/>
          <w:szCs w:val="32"/>
          <w:highlight w:val="none"/>
          <w:u w:val="none"/>
        </w:rPr>
        <w:t>+ D×0.3</w:t>
      </w:r>
      <w:r>
        <w:rPr>
          <w:rFonts w:hint="eastAsia" w:ascii="Times New Roman" w:hAnsi="Times New Roman" w:eastAsia="仿宋_GB2312" w:cs="仿宋_GB2312"/>
          <w:sz w:val="32"/>
          <w:szCs w:val="32"/>
          <w:highlight w:val="none"/>
          <w:u w:val="none"/>
          <w:lang w:val="en-US" w:eastAsia="zh-CN"/>
        </w:rPr>
        <w:t>0</w:t>
      </w:r>
      <w:r>
        <w:rPr>
          <w:rFonts w:hint="eastAsia" w:ascii="Times New Roman" w:hAnsi="Times New Roman" w:eastAsia="仿宋_GB2312" w:cs="仿宋_GB2312"/>
          <w:sz w:val="32"/>
          <w:szCs w:val="32"/>
          <w:highlight w:val="none"/>
          <w:u w:val="none"/>
        </w:rPr>
        <w:t>。各培养单位按照从高分到低分进行排序。各学院在制定细则时可对B、C、D项的权重进行±10%调整。</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jc w:val="center"/>
        <w:textAlignment w:val="auto"/>
        <w:outlineLvl w:val="9"/>
        <w:rPr>
          <w:rFonts w:hint="eastAsia" w:ascii="Times New Roman" w:hAnsi="Times New Roman" w:eastAsia="仿宋_GB2312" w:cs="仿宋_GB2312"/>
          <w:b/>
          <w:bCs/>
          <w:kern w:val="2"/>
          <w:sz w:val="32"/>
          <w:szCs w:val="32"/>
          <w:highlight w:val="none"/>
          <w:u w:val="none"/>
        </w:rPr>
      </w:pPr>
      <w:r>
        <w:rPr>
          <w:rFonts w:hint="eastAsia" w:ascii="Times New Roman" w:hAnsi="Times New Roman" w:eastAsia="仿宋_GB2312" w:cs="仿宋_GB2312"/>
          <w:b/>
          <w:bCs/>
          <w:kern w:val="2"/>
          <w:sz w:val="32"/>
          <w:szCs w:val="32"/>
          <w:highlight w:val="none"/>
          <w:u w:val="none"/>
        </w:rPr>
        <w:t>第三章 综合素质评定</w:t>
      </w:r>
    </w:p>
    <w:p>
      <w:pPr>
        <w:keepNext w:val="0"/>
        <w:keepLines w:val="0"/>
        <w:pageBreakBefore w:val="0"/>
        <w:widowControl/>
        <w:kinsoku/>
        <w:wordWrap/>
        <w:overflowPunct/>
        <w:topLinePunct w:val="0"/>
        <w:autoSpaceDE/>
        <w:autoSpaceDN/>
        <w:bidi w:val="0"/>
        <w:spacing w:after="0" w:line="360" w:lineRule="auto"/>
        <w:ind w:left="0" w:leftChars="0" w:right="0" w:rightChars="0" w:firstLine="643" w:firstLineChars="200"/>
        <w:jc w:val="both"/>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b/>
          <w:bCs/>
          <w:sz w:val="32"/>
          <w:szCs w:val="32"/>
          <w:highlight w:val="none"/>
          <w:u w:val="none"/>
        </w:rPr>
        <w:t>第七条</w:t>
      </w:r>
      <w:r>
        <w:rPr>
          <w:rFonts w:hint="eastAsia" w:ascii="Times New Roman" w:hAnsi="Times New Roman" w:eastAsia="仿宋_GB2312" w:cs="仿宋_GB2312"/>
          <w:sz w:val="32"/>
          <w:szCs w:val="32"/>
          <w:highlight w:val="none"/>
          <w:u w:val="none"/>
        </w:rPr>
        <w:t xml:space="preserve"> 综合素质得分（A）由“基本分（A1）”“政治表现（A2）” “社会工作（A3）”和“减项分A4”四项构成，即：A= A1+ A2+ A3-A4。本项最高得分为100分。</w:t>
      </w:r>
    </w:p>
    <w:p>
      <w:pPr>
        <w:keepNext w:val="0"/>
        <w:keepLines w:val="0"/>
        <w:pageBreakBefore w:val="0"/>
        <w:widowControl/>
        <w:kinsoku/>
        <w:wordWrap/>
        <w:overflowPunct/>
        <w:topLinePunct w:val="0"/>
        <w:autoSpaceDE/>
        <w:autoSpaceDN/>
        <w:bidi w:val="0"/>
        <w:spacing w:after="0" w:line="360" w:lineRule="auto"/>
        <w:ind w:left="0" w:leftChars="0" w:right="0" w:rightChars="0" w:firstLine="643" w:firstLineChars="200"/>
        <w:jc w:val="both"/>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b/>
          <w:bCs/>
          <w:sz w:val="32"/>
          <w:szCs w:val="32"/>
          <w:highlight w:val="none"/>
          <w:u w:val="none"/>
        </w:rPr>
        <w:t>第八条</w:t>
      </w:r>
      <w:r>
        <w:rPr>
          <w:rFonts w:hint="eastAsia" w:ascii="Times New Roman" w:hAnsi="Times New Roman" w:eastAsia="仿宋_GB2312" w:cs="仿宋_GB2312"/>
          <w:sz w:val="32"/>
          <w:szCs w:val="32"/>
          <w:highlight w:val="none"/>
          <w:u w:val="none"/>
        </w:rPr>
        <w:t xml:space="preserve"> 基本分A1的计算依据为：坚持四项基本原则，坚持社会主义核心价值观，遵守法律和学校规章制度，自觉遵守公民基本道德规范和高等学校学生行为准则；积极</w:t>
      </w:r>
      <w:r>
        <w:rPr>
          <w:rFonts w:hint="eastAsia" w:ascii="Times New Roman" w:hAnsi="Times New Roman" w:eastAsia="仿宋_GB2312" w:cs="仿宋_GB2312"/>
          <w:sz w:val="32"/>
          <w:szCs w:val="32"/>
          <w:highlight w:val="none"/>
          <w:u w:val="none"/>
          <w:lang w:val="en-US" w:eastAsia="zh-CN"/>
        </w:rPr>
        <w:t>践行“三全六专”育人实践，</w:t>
      </w:r>
      <w:r>
        <w:rPr>
          <w:rFonts w:hint="eastAsia" w:ascii="Times New Roman" w:hAnsi="Times New Roman" w:eastAsia="仿宋_GB2312" w:cs="仿宋_GB2312"/>
          <w:sz w:val="32"/>
          <w:szCs w:val="32"/>
          <w:highlight w:val="none"/>
          <w:u w:val="none"/>
        </w:rPr>
        <w:t>参加学校</w:t>
      </w:r>
      <w:r>
        <w:rPr>
          <w:rFonts w:hint="eastAsia" w:ascii="Times New Roman" w:hAnsi="Times New Roman" w:eastAsia="仿宋_GB2312" w:cs="仿宋_GB2312"/>
          <w:sz w:val="32"/>
          <w:szCs w:val="32"/>
          <w:highlight w:val="none"/>
          <w:u w:val="none"/>
          <w:lang w:eastAsia="zh-CN"/>
        </w:rPr>
        <w:t>、</w:t>
      </w:r>
      <w:r>
        <w:rPr>
          <w:rFonts w:hint="eastAsia" w:ascii="Times New Roman" w:hAnsi="Times New Roman" w:eastAsia="仿宋_GB2312" w:cs="仿宋_GB2312"/>
          <w:sz w:val="32"/>
          <w:szCs w:val="32"/>
          <w:highlight w:val="none"/>
          <w:u w:val="none"/>
        </w:rPr>
        <w:t>研究生部</w:t>
      </w:r>
      <w:r>
        <w:rPr>
          <w:rFonts w:hint="eastAsia" w:ascii="Times New Roman" w:hAnsi="Times New Roman" w:eastAsia="仿宋_GB2312" w:cs="仿宋_GB2312"/>
          <w:sz w:val="32"/>
          <w:szCs w:val="32"/>
          <w:highlight w:val="none"/>
          <w:u w:val="none"/>
          <w:lang w:eastAsia="zh-CN"/>
        </w:rPr>
        <w:t>（</w:t>
      </w:r>
      <w:r>
        <w:rPr>
          <w:rFonts w:hint="eastAsia" w:ascii="Times New Roman" w:hAnsi="Times New Roman" w:eastAsia="仿宋_GB2312" w:cs="仿宋_GB2312"/>
          <w:sz w:val="32"/>
          <w:szCs w:val="32"/>
          <w:highlight w:val="none"/>
          <w:u w:val="none"/>
          <w:lang w:val="en-US" w:eastAsia="zh-CN"/>
        </w:rPr>
        <w:t>党委研究生工作部</w:t>
      </w:r>
      <w:r>
        <w:rPr>
          <w:rFonts w:hint="eastAsia" w:ascii="Times New Roman" w:hAnsi="Times New Roman" w:eastAsia="仿宋_GB2312" w:cs="仿宋_GB2312"/>
          <w:sz w:val="32"/>
          <w:szCs w:val="32"/>
          <w:highlight w:val="none"/>
          <w:u w:val="none"/>
          <w:lang w:eastAsia="zh-CN"/>
        </w:rPr>
        <w:t>）</w:t>
      </w:r>
      <w:r>
        <w:rPr>
          <w:rFonts w:hint="eastAsia" w:ascii="Times New Roman" w:hAnsi="Times New Roman" w:eastAsia="仿宋_GB2312" w:cs="仿宋_GB2312"/>
          <w:sz w:val="32"/>
          <w:szCs w:val="32"/>
          <w:highlight w:val="none"/>
          <w:u w:val="none"/>
        </w:rPr>
        <w:t>、校团学组织、培养单位、班级</w:t>
      </w:r>
      <w:r>
        <w:rPr>
          <w:rFonts w:hint="eastAsia" w:ascii="Times New Roman" w:hAnsi="Times New Roman" w:eastAsia="仿宋_GB2312" w:cs="仿宋_GB2312"/>
          <w:sz w:val="32"/>
          <w:szCs w:val="32"/>
          <w:highlight w:val="none"/>
          <w:u w:val="none"/>
          <w:lang w:eastAsia="zh-CN"/>
        </w:rPr>
        <w:t>、</w:t>
      </w:r>
      <w:r>
        <w:rPr>
          <w:rFonts w:hint="eastAsia" w:ascii="Times New Roman" w:hAnsi="Times New Roman" w:eastAsia="仿宋_GB2312" w:cs="仿宋_GB2312"/>
          <w:sz w:val="32"/>
          <w:szCs w:val="32"/>
          <w:highlight w:val="none"/>
          <w:u w:val="none"/>
          <w:lang w:val="en-US" w:eastAsia="zh-CN"/>
        </w:rPr>
        <w:t>党（团）支部</w:t>
      </w:r>
      <w:r>
        <w:rPr>
          <w:rFonts w:hint="eastAsia" w:ascii="Times New Roman" w:hAnsi="Times New Roman" w:eastAsia="仿宋_GB2312" w:cs="仿宋_GB2312"/>
          <w:sz w:val="32"/>
          <w:szCs w:val="32"/>
          <w:highlight w:val="none"/>
          <w:u w:val="none"/>
        </w:rPr>
        <w:t>等组织的各项活动；党团员应积极参加党、团组织生活，按时</w:t>
      </w:r>
      <w:r>
        <w:rPr>
          <w:rFonts w:hint="eastAsia" w:ascii="Times New Roman" w:hAnsi="Times New Roman" w:eastAsia="仿宋_GB2312" w:cs="仿宋_GB2312"/>
          <w:sz w:val="32"/>
          <w:szCs w:val="32"/>
          <w:highlight w:val="none"/>
          <w:u w:val="none"/>
          <w:lang w:val="en-US" w:eastAsia="zh-CN"/>
        </w:rPr>
        <w:t>缴纳</w:t>
      </w:r>
      <w:r>
        <w:rPr>
          <w:rFonts w:hint="eastAsia" w:ascii="Times New Roman" w:hAnsi="Times New Roman" w:eastAsia="仿宋_GB2312" w:cs="仿宋_GB2312"/>
          <w:sz w:val="32"/>
          <w:szCs w:val="32"/>
          <w:highlight w:val="none"/>
          <w:u w:val="none"/>
        </w:rPr>
        <w:t>党、团费。可获得基本分A1＝50。</w:t>
      </w:r>
    </w:p>
    <w:p>
      <w:pPr>
        <w:keepNext w:val="0"/>
        <w:keepLines w:val="0"/>
        <w:pageBreakBefore w:val="0"/>
        <w:widowControl/>
        <w:kinsoku/>
        <w:wordWrap/>
        <w:overflowPunct/>
        <w:topLinePunct w:val="0"/>
        <w:autoSpaceDE/>
        <w:autoSpaceDN/>
        <w:bidi w:val="0"/>
        <w:spacing w:after="0" w:line="360" w:lineRule="auto"/>
        <w:ind w:left="0" w:leftChars="0" w:right="0" w:rightChars="0" w:firstLine="643" w:firstLineChars="200"/>
        <w:jc w:val="both"/>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b/>
          <w:bCs/>
          <w:sz w:val="32"/>
          <w:szCs w:val="32"/>
          <w:highlight w:val="none"/>
          <w:u w:val="none"/>
        </w:rPr>
        <w:t>第九条</w:t>
      </w:r>
      <w:r>
        <w:rPr>
          <w:rFonts w:hint="eastAsia" w:ascii="Times New Roman" w:hAnsi="Times New Roman" w:eastAsia="仿宋_GB2312" w:cs="仿宋_GB2312"/>
          <w:sz w:val="32"/>
          <w:szCs w:val="32"/>
          <w:highlight w:val="none"/>
          <w:u w:val="none"/>
        </w:rPr>
        <w:t xml:space="preserve"> 政治表现（A2）的计算依据为：</w:t>
      </w:r>
    </w:p>
    <w:p>
      <w:pPr>
        <w:keepNext w:val="0"/>
        <w:keepLines w:val="0"/>
        <w:pageBreakBefore w:val="0"/>
        <w:widowControl/>
        <w:kinsoku/>
        <w:wordWrap/>
        <w:overflowPunct/>
        <w:topLinePunct w:val="0"/>
        <w:autoSpaceDE/>
        <w:autoSpaceDN/>
        <w:bidi w:val="0"/>
        <w:spacing w:after="0" w:line="36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1．</w:t>
      </w:r>
      <w:r>
        <w:rPr>
          <w:rFonts w:hint="eastAsia" w:ascii="Times New Roman" w:hAnsi="Times New Roman" w:eastAsia="仿宋_GB2312" w:cs="仿宋_GB2312"/>
          <w:sz w:val="32"/>
          <w:szCs w:val="32"/>
          <w:highlight w:val="none"/>
          <w:u w:val="none"/>
          <w:lang w:val="en-US" w:eastAsia="zh-CN"/>
        </w:rPr>
        <w:t>助人为乐项：</w:t>
      </w:r>
      <w:r>
        <w:rPr>
          <w:rFonts w:hint="eastAsia" w:ascii="Times New Roman" w:hAnsi="Times New Roman" w:eastAsia="仿宋_GB2312" w:cs="仿宋_GB2312"/>
          <w:sz w:val="32"/>
          <w:szCs w:val="32"/>
          <w:highlight w:val="none"/>
          <w:u w:val="none"/>
        </w:rPr>
        <w:t>具有高尚的道德情操、见义勇为、助人为乐、集体主义精神，获得</w:t>
      </w:r>
      <w:r>
        <w:rPr>
          <w:rFonts w:hint="eastAsia" w:ascii="Times New Roman" w:hAnsi="Times New Roman" w:eastAsia="仿宋_GB2312" w:cs="仿宋_GB2312"/>
          <w:sz w:val="32"/>
          <w:szCs w:val="32"/>
          <w:highlight w:val="none"/>
          <w:u w:val="none"/>
          <w:lang w:val="en-US" w:eastAsia="zh-CN"/>
        </w:rPr>
        <w:t>国家、</w:t>
      </w:r>
      <w:r>
        <w:rPr>
          <w:rFonts w:hint="eastAsia" w:ascii="Times New Roman" w:hAnsi="Times New Roman" w:eastAsia="仿宋_GB2312" w:cs="仿宋_GB2312"/>
          <w:sz w:val="32"/>
          <w:szCs w:val="32"/>
          <w:highlight w:val="none"/>
          <w:u w:val="none"/>
        </w:rPr>
        <w:t>省、市、</w:t>
      </w:r>
      <w:r>
        <w:rPr>
          <w:rFonts w:hint="eastAsia" w:ascii="Times New Roman" w:hAnsi="Times New Roman" w:eastAsia="仿宋_GB2312" w:cs="仿宋_GB2312"/>
          <w:sz w:val="32"/>
          <w:szCs w:val="32"/>
          <w:highlight w:val="none"/>
          <w:u w:val="none"/>
          <w:lang w:val="en-US" w:eastAsia="zh-CN"/>
        </w:rPr>
        <w:t>县（区）人民政府、</w:t>
      </w:r>
      <w:r>
        <w:rPr>
          <w:rFonts w:hint="eastAsia" w:ascii="Times New Roman" w:hAnsi="Times New Roman" w:eastAsia="仿宋_GB2312" w:cs="仿宋_GB2312"/>
          <w:sz w:val="32"/>
          <w:szCs w:val="32"/>
          <w:highlight w:val="none"/>
          <w:u w:val="none"/>
        </w:rPr>
        <w:t>校、院嘉奖（或认定）的，分别获得奖励分为</w:t>
      </w:r>
      <w:r>
        <w:rPr>
          <w:rFonts w:hint="eastAsia" w:ascii="Times New Roman" w:hAnsi="Times New Roman" w:eastAsia="仿宋_GB2312" w:cs="仿宋_GB2312"/>
          <w:sz w:val="32"/>
          <w:szCs w:val="32"/>
          <w:highlight w:val="none"/>
          <w:u w:val="none"/>
          <w:lang w:val="en-US" w:eastAsia="zh-CN"/>
        </w:rPr>
        <w:t>15、</w:t>
      </w:r>
      <w:r>
        <w:rPr>
          <w:rFonts w:hint="eastAsia" w:ascii="Times New Roman" w:hAnsi="Times New Roman" w:eastAsia="仿宋_GB2312" w:cs="仿宋_GB2312"/>
          <w:sz w:val="32"/>
          <w:szCs w:val="32"/>
          <w:highlight w:val="none"/>
          <w:u w:val="none"/>
        </w:rPr>
        <w:t>10、8、</w:t>
      </w:r>
      <w:r>
        <w:rPr>
          <w:rFonts w:hint="eastAsia" w:ascii="Times New Roman" w:hAnsi="Times New Roman" w:eastAsia="仿宋_GB2312" w:cs="仿宋_GB2312"/>
          <w:sz w:val="32"/>
          <w:szCs w:val="32"/>
          <w:highlight w:val="none"/>
          <w:u w:val="none"/>
          <w:lang w:val="en-US" w:eastAsia="zh-CN"/>
        </w:rPr>
        <w:t>6</w:t>
      </w:r>
      <w:r>
        <w:rPr>
          <w:rFonts w:hint="eastAsia" w:ascii="Times New Roman" w:hAnsi="Times New Roman" w:eastAsia="仿宋_GB2312" w:cs="仿宋_GB2312"/>
          <w:sz w:val="32"/>
          <w:szCs w:val="32"/>
          <w:highlight w:val="none"/>
          <w:u w:val="none"/>
        </w:rPr>
        <w:t>、</w:t>
      </w:r>
      <w:r>
        <w:rPr>
          <w:rFonts w:hint="eastAsia" w:ascii="Times New Roman" w:hAnsi="Times New Roman" w:eastAsia="仿宋_GB2312" w:cs="仿宋_GB2312"/>
          <w:sz w:val="32"/>
          <w:szCs w:val="32"/>
          <w:highlight w:val="none"/>
          <w:u w:val="none"/>
          <w:lang w:val="en-US" w:eastAsia="zh-CN"/>
        </w:rPr>
        <w:t>4、2</w:t>
      </w:r>
      <w:r>
        <w:rPr>
          <w:rFonts w:hint="eastAsia" w:ascii="Times New Roman" w:hAnsi="Times New Roman" w:eastAsia="仿宋_GB2312" w:cs="仿宋_GB2312"/>
          <w:sz w:val="32"/>
          <w:szCs w:val="32"/>
          <w:highlight w:val="none"/>
          <w:u w:val="none"/>
        </w:rPr>
        <w:t>分。</w:t>
      </w:r>
    </w:p>
    <w:p>
      <w:pPr>
        <w:keepNext w:val="0"/>
        <w:keepLines w:val="0"/>
        <w:pageBreakBefore w:val="0"/>
        <w:widowControl/>
        <w:kinsoku/>
        <w:wordWrap/>
        <w:overflowPunct/>
        <w:topLinePunct w:val="0"/>
        <w:autoSpaceDE/>
        <w:autoSpaceDN/>
        <w:bidi w:val="0"/>
        <w:spacing w:after="0" w:line="36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2．</w:t>
      </w:r>
      <w:r>
        <w:rPr>
          <w:rFonts w:hint="eastAsia" w:ascii="Times New Roman" w:hAnsi="Times New Roman" w:eastAsia="仿宋_GB2312" w:cs="仿宋_GB2312"/>
          <w:sz w:val="32"/>
          <w:szCs w:val="32"/>
          <w:highlight w:val="none"/>
          <w:u w:val="none"/>
          <w:lang w:val="en-US" w:eastAsia="zh-CN"/>
        </w:rPr>
        <w:t>个人荣誉项：</w:t>
      </w:r>
      <w:r>
        <w:rPr>
          <w:rFonts w:hint="eastAsia" w:ascii="Times New Roman" w:hAnsi="Times New Roman" w:eastAsia="仿宋_GB2312" w:cs="仿宋_GB2312"/>
          <w:sz w:val="32"/>
          <w:szCs w:val="32"/>
          <w:highlight w:val="none"/>
          <w:u w:val="none"/>
        </w:rPr>
        <w:t>获得校优秀研究生干部荣誉称号的，奖励4分；获得</w:t>
      </w:r>
      <w:r>
        <w:rPr>
          <w:rFonts w:hint="eastAsia" w:ascii="Times New Roman" w:hAnsi="Times New Roman" w:eastAsia="仿宋_GB2312" w:cs="仿宋_GB2312"/>
          <w:sz w:val="32"/>
          <w:szCs w:val="32"/>
          <w:highlight w:val="none"/>
          <w:u w:val="none"/>
          <w:lang w:val="en-US" w:eastAsia="zh-CN"/>
        </w:rPr>
        <w:t>国家、</w:t>
      </w:r>
      <w:r>
        <w:rPr>
          <w:rFonts w:hint="eastAsia" w:ascii="Times New Roman" w:hAnsi="Times New Roman" w:eastAsia="仿宋_GB2312" w:cs="仿宋_GB2312"/>
          <w:sz w:val="32"/>
          <w:szCs w:val="32"/>
          <w:highlight w:val="none"/>
          <w:u w:val="none"/>
        </w:rPr>
        <w:t>省、市、校级</w:t>
      </w:r>
      <w:r>
        <w:rPr>
          <w:rFonts w:hint="eastAsia" w:ascii="Times New Roman" w:hAnsi="Times New Roman" w:eastAsia="仿宋_GB2312" w:cs="仿宋_GB2312"/>
          <w:sz w:val="32"/>
          <w:szCs w:val="32"/>
          <w:highlight w:val="none"/>
          <w:u w:val="none"/>
          <w:lang w:eastAsia="zh-CN"/>
        </w:rPr>
        <w:t>、</w:t>
      </w:r>
      <w:r>
        <w:rPr>
          <w:rFonts w:hint="eastAsia" w:ascii="Times New Roman" w:hAnsi="Times New Roman" w:eastAsia="仿宋_GB2312" w:cs="仿宋_GB2312"/>
          <w:sz w:val="32"/>
          <w:szCs w:val="32"/>
          <w:highlight w:val="none"/>
          <w:u w:val="none"/>
          <w:lang w:val="en-US" w:eastAsia="zh-CN"/>
        </w:rPr>
        <w:t>院级</w:t>
      </w:r>
      <w:r>
        <w:rPr>
          <w:rFonts w:hint="eastAsia" w:ascii="Times New Roman" w:hAnsi="Times New Roman" w:eastAsia="仿宋_GB2312" w:cs="仿宋_GB2312"/>
          <w:sz w:val="32"/>
          <w:szCs w:val="32"/>
          <w:highlight w:val="none"/>
          <w:u w:val="none"/>
        </w:rPr>
        <w:t>优秀党（团）员（干）、积极分子等个人荣誉称号的，每项奖励</w:t>
      </w:r>
      <w:r>
        <w:rPr>
          <w:rFonts w:hint="eastAsia" w:ascii="Times New Roman" w:hAnsi="Times New Roman" w:eastAsia="仿宋_GB2312" w:cs="仿宋_GB2312"/>
          <w:sz w:val="32"/>
          <w:szCs w:val="32"/>
          <w:highlight w:val="none"/>
          <w:u w:val="none"/>
          <w:lang w:val="en-US" w:eastAsia="zh-CN"/>
        </w:rPr>
        <w:t>10、</w:t>
      </w:r>
      <w:r>
        <w:rPr>
          <w:rFonts w:hint="eastAsia" w:ascii="Times New Roman" w:hAnsi="Times New Roman" w:eastAsia="仿宋_GB2312" w:cs="仿宋_GB2312"/>
          <w:sz w:val="32"/>
          <w:szCs w:val="32"/>
          <w:highlight w:val="none"/>
          <w:u w:val="none"/>
        </w:rPr>
        <w:t>6、5、4</w:t>
      </w:r>
      <w:r>
        <w:rPr>
          <w:rFonts w:hint="eastAsia" w:ascii="Times New Roman" w:hAnsi="Times New Roman" w:eastAsia="仿宋_GB2312" w:cs="仿宋_GB2312"/>
          <w:sz w:val="32"/>
          <w:szCs w:val="32"/>
          <w:highlight w:val="none"/>
          <w:u w:val="none"/>
          <w:lang w:eastAsia="zh-CN"/>
        </w:rPr>
        <w:t>、</w:t>
      </w:r>
      <w:r>
        <w:rPr>
          <w:rFonts w:hint="eastAsia" w:ascii="Times New Roman" w:hAnsi="Times New Roman" w:eastAsia="仿宋_GB2312" w:cs="仿宋_GB2312"/>
          <w:sz w:val="32"/>
          <w:szCs w:val="32"/>
          <w:highlight w:val="none"/>
          <w:u w:val="none"/>
          <w:lang w:val="en-US" w:eastAsia="zh-CN"/>
        </w:rPr>
        <w:t>1</w:t>
      </w:r>
      <w:r>
        <w:rPr>
          <w:rFonts w:hint="eastAsia" w:ascii="Times New Roman" w:hAnsi="Times New Roman" w:eastAsia="仿宋_GB2312" w:cs="仿宋_GB2312"/>
          <w:sz w:val="32"/>
          <w:szCs w:val="32"/>
          <w:highlight w:val="none"/>
          <w:u w:val="none"/>
        </w:rPr>
        <w:t>分。</w:t>
      </w:r>
    </w:p>
    <w:p>
      <w:pPr>
        <w:keepNext w:val="0"/>
        <w:keepLines w:val="0"/>
        <w:pageBreakBefore w:val="0"/>
        <w:widowControl/>
        <w:kinsoku/>
        <w:wordWrap/>
        <w:overflowPunct/>
        <w:topLinePunct w:val="0"/>
        <w:autoSpaceDE/>
        <w:autoSpaceDN/>
        <w:bidi w:val="0"/>
        <w:spacing w:after="0" w:line="36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3．同一事迹受不同级别表彰者，以最高分计，不累加。</w:t>
      </w:r>
    </w:p>
    <w:p>
      <w:pPr>
        <w:keepNext w:val="0"/>
        <w:keepLines w:val="0"/>
        <w:pageBreakBefore w:val="0"/>
        <w:widowControl/>
        <w:kinsoku/>
        <w:wordWrap/>
        <w:overflowPunct/>
        <w:topLinePunct w:val="0"/>
        <w:autoSpaceDE/>
        <w:autoSpaceDN/>
        <w:bidi w:val="0"/>
        <w:spacing w:after="0" w:line="360" w:lineRule="auto"/>
        <w:ind w:left="0" w:leftChars="0" w:right="0" w:rightChars="0" w:firstLine="643" w:firstLineChars="200"/>
        <w:jc w:val="both"/>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b/>
          <w:bCs/>
          <w:sz w:val="32"/>
          <w:szCs w:val="32"/>
          <w:highlight w:val="none"/>
          <w:u w:val="none"/>
        </w:rPr>
        <w:t>第十条</w:t>
      </w:r>
      <w:r>
        <w:rPr>
          <w:rFonts w:hint="eastAsia" w:ascii="Times New Roman" w:hAnsi="Times New Roman" w:eastAsia="仿宋_GB2312" w:cs="仿宋_GB2312"/>
          <w:sz w:val="32"/>
          <w:szCs w:val="32"/>
          <w:highlight w:val="none"/>
          <w:u w:val="none"/>
        </w:rPr>
        <w:t xml:space="preserve"> 社会工作（A3）的计算依据为：</w:t>
      </w:r>
    </w:p>
    <w:p>
      <w:pPr>
        <w:keepNext w:val="0"/>
        <w:keepLines w:val="0"/>
        <w:pageBreakBefore w:val="0"/>
        <w:widowControl/>
        <w:kinsoku/>
        <w:wordWrap/>
        <w:overflowPunct/>
        <w:topLinePunct w:val="0"/>
        <w:autoSpaceDE/>
        <w:autoSpaceDN/>
        <w:bidi w:val="0"/>
        <w:spacing w:after="0" w:line="36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lang w:val="en-US" w:eastAsia="zh-CN"/>
        </w:rPr>
        <w:t>1.志愿者计算依据为</w:t>
      </w:r>
      <w:r>
        <w:rPr>
          <w:rFonts w:hint="eastAsia" w:ascii="Times New Roman" w:hAnsi="Times New Roman" w:eastAsia="仿宋_GB2312" w:cs="仿宋_GB2312"/>
          <w:sz w:val="32"/>
          <w:szCs w:val="32"/>
          <w:highlight w:val="none"/>
          <w:u w:val="none"/>
        </w:rPr>
        <w:t>参加由</w:t>
      </w:r>
      <w:r>
        <w:rPr>
          <w:rFonts w:hint="eastAsia" w:ascii="Times New Roman" w:hAnsi="Times New Roman" w:eastAsia="仿宋_GB2312" w:cs="仿宋_GB2312"/>
          <w:sz w:val="32"/>
          <w:szCs w:val="32"/>
          <w:highlight w:val="none"/>
          <w:u w:val="none"/>
          <w:lang w:val="en-US" w:eastAsia="zh-CN"/>
        </w:rPr>
        <w:t>市、</w:t>
      </w:r>
      <w:r>
        <w:rPr>
          <w:rFonts w:hint="eastAsia" w:ascii="Times New Roman" w:hAnsi="Times New Roman" w:eastAsia="仿宋_GB2312" w:cs="仿宋_GB2312"/>
          <w:sz w:val="32"/>
          <w:szCs w:val="32"/>
          <w:highlight w:val="none"/>
          <w:u w:val="none"/>
        </w:rPr>
        <w:t>学校、学院、研究生会组织的志愿者专项活动，并提供相关证明加3分；</w:t>
      </w:r>
    </w:p>
    <w:p>
      <w:pPr>
        <w:keepNext w:val="0"/>
        <w:keepLines w:val="0"/>
        <w:pageBreakBefore w:val="0"/>
        <w:widowControl/>
        <w:kinsoku/>
        <w:wordWrap/>
        <w:overflowPunct/>
        <w:topLinePunct w:val="0"/>
        <w:autoSpaceDE/>
        <w:autoSpaceDN/>
        <w:bidi w:val="0"/>
        <w:spacing w:after="0" w:line="36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highlight w:val="none"/>
          <w:u w:val="none"/>
          <w:lang w:val="en-US" w:eastAsia="zh-CN"/>
        </w:rPr>
      </w:pPr>
      <w:r>
        <w:rPr>
          <w:rFonts w:hint="eastAsia" w:ascii="Times New Roman" w:hAnsi="Times New Roman" w:eastAsia="仿宋_GB2312" w:cs="仿宋_GB2312"/>
          <w:sz w:val="32"/>
          <w:szCs w:val="32"/>
          <w:highlight w:val="none"/>
          <w:u w:val="none"/>
          <w:lang w:val="en-US" w:eastAsia="zh-CN"/>
        </w:rPr>
        <w:t>2.学生干部计算依据为：</w:t>
      </w:r>
    </w:p>
    <w:p>
      <w:pPr>
        <w:keepNext w:val="0"/>
        <w:keepLines w:val="0"/>
        <w:pageBreakBefore w:val="0"/>
        <w:widowControl/>
        <w:kinsoku/>
        <w:wordWrap/>
        <w:overflowPunct/>
        <w:topLinePunct w:val="0"/>
        <w:autoSpaceDE/>
        <w:autoSpaceDN/>
        <w:bidi w:val="0"/>
        <w:spacing w:after="0" w:line="360" w:lineRule="auto"/>
        <w:ind w:left="0" w:leftChars="0" w:right="0" w:rightChars="0" w:firstLine="640" w:firstLineChars="200"/>
        <w:jc w:val="both"/>
        <w:textAlignment w:val="auto"/>
        <w:outlineLvl w:val="9"/>
        <w:rPr>
          <w:rFonts w:hint="default" w:ascii="Times New Roman" w:hAnsi="Times New Roman" w:eastAsia="仿宋_GB2312" w:cs="仿宋_GB2312"/>
          <w:sz w:val="32"/>
          <w:szCs w:val="32"/>
          <w:highlight w:val="none"/>
          <w:u w:val="none"/>
          <w:lang w:val="en-US" w:eastAsia="zh-CN"/>
        </w:rPr>
      </w:pPr>
      <w:r>
        <w:rPr>
          <w:rFonts w:hint="eastAsia" w:ascii="Times New Roman" w:hAnsi="Times New Roman" w:eastAsia="仿宋_GB2312" w:cs="仿宋_GB2312"/>
          <w:sz w:val="32"/>
          <w:szCs w:val="32"/>
          <w:highlight w:val="none"/>
          <w:u w:val="none"/>
          <w:lang w:val="en-US" w:eastAsia="zh-CN"/>
        </w:rPr>
        <w:t>担任</w:t>
      </w:r>
      <w:r>
        <w:rPr>
          <w:rFonts w:hint="eastAsia" w:ascii="Times New Roman" w:hAnsi="Times New Roman" w:eastAsia="仿宋_GB2312" w:cs="仿宋_GB2312"/>
          <w:sz w:val="32"/>
          <w:szCs w:val="32"/>
          <w:highlight w:val="none"/>
          <w:u w:val="none"/>
          <w:vertAlign w:val="baseline"/>
          <w:lang w:val="en-US" w:eastAsia="zh-CN"/>
        </w:rPr>
        <w:t>研究生会主席团成员加5分；担任研究生会部长、班级班长、（党、团）支部书记加4分；担任研究生会副部长、党支部副书记加3分；担任班委（团支委、党支委）成员、研究生会干事加2分。</w:t>
      </w:r>
      <w:r>
        <w:rPr>
          <w:rFonts w:hint="eastAsia" w:ascii="Times New Roman" w:hAnsi="Times New Roman" w:eastAsia="仿宋_GB2312" w:cs="仿宋_GB2312"/>
          <w:sz w:val="32"/>
          <w:szCs w:val="32"/>
          <w:highlight w:val="none"/>
          <w:u w:val="none"/>
          <w:lang w:val="en-US" w:eastAsia="zh-CN"/>
        </w:rPr>
        <w:t>身兼多职者，只就高计算一项。</w:t>
      </w:r>
    </w:p>
    <w:p>
      <w:pPr>
        <w:keepNext w:val="0"/>
        <w:keepLines w:val="0"/>
        <w:pageBreakBefore w:val="0"/>
        <w:widowControl/>
        <w:kinsoku/>
        <w:wordWrap/>
        <w:overflowPunct/>
        <w:topLinePunct w:val="0"/>
        <w:autoSpaceDE/>
        <w:autoSpaceDN/>
        <w:bidi w:val="0"/>
        <w:spacing w:after="0" w:line="36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highlight w:val="none"/>
          <w:u w:val="none"/>
          <w:lang w:val="en-US" w:eastAsia="zh-CN"/>
        </w:rPr>
      </w:pPr>
      <w:r>
        <w:rPr>
          <w:rFonts w:hint="eastAsia" w:ascii="Times New Roman" w:hAnsi="Times New Roman" w:eastAsia="仿宋_GB2312" w:cs="仿宋_GB2312"/>
          <w:sz w:val="32"/>
          <w:szCs w:val="32"/>
          <w:highlight w:val="none"/>
          <w:u w:val="none"/>
          <w:lang w:val="en-US" w:eastAsia="zh-CN"/>
        </w:rPr>
        <w:t>3.文体活动</w:t>
      </w:r>
    </w:p>
    <w:p>
      <w:pPr>
        <w:keepNext w:val="0"/>
        <w:keepLines w:val="0"/>
        <w:pageBreakBefore w:val="0"/>
        <w:widowControl/>
        <w:kinsoku/>
        <w:wordWrap/>
        <w:overflowPunct/>
        <w:topLinePunct w:val="0"/>
        <w:autoSpaceDE/>
        <w:autoSpaceDN/>
        <w:bidi w:val="0"/>
        <w:spacing w:after="0" w:line="36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highlight w:val="none"/>
          <w:u w:val="none"/>
          <w:lang w:val="en-US" w:eastAsia="zh-CN"/>
        </w:rPr>
      </w:pPr>
      <w:r>
        <w:rPr>
          <w:rFonts w:hint="eastAsia" w:ascii="Times New Roman" w:hAnsi="Times New Roman" w:eastAsia="仿宋_GB2312" w:cs="仿宋_GB2312"/>
          <w:sz w:val="32"/>
          <w:szCs w:val="32"/>
          <w:highlight w:val="none"/>
          <w:u w:val="none"/>
          <w:lang w:val="en-US" w:eastAsia="zh-CN"/>
        </w:rPr>
        <w:t>文体活动获奖加分具体见下表：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9"/>
        <w:gridCol w:w="1527"/>
        <w:gridCol w:w="1384"/>
        <w:gridCol w:w="1778"/>
        <w:gridCol w:w="1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9" w:type="dxa"/>
          </w:tcPr>
          <w:p>
            <w:pPr>
              <w:keepNext w:val="0"/>
              <w:keepLines w:val="0"/>
              <w:pageBreakBefore w:val="0"/>
              <w:widowControl/>
              <w:kinsoku/>
              <w:wordWrap/>
              <w:overflowPunct/>
              <w:topLinePunct w:val="0"/>
              <w:autoSpaceDE/>
              <w:autoSpaceDN/>
              <w:bidi w:val="0"/>
              <w:spacing w:after="0" w:line="360" w:lineRule="auto"/>
              <w:ind w:right="0" w:rightChars="0"/>
              <w:jc w:val="center"/>
              <w:textAlignment w:val="auto"/>
              <w:outlineLvl w:val="9"/>
              <w:rPr>
                <w:rFonts w:hint="default" w:ascii="Times New Roman" w:hAnsi="Times New Roman" w:eastAsia="仿宋_GB2312" w:cs="仿宋_GB2312"/>
                <w:sz w:val="32"/>
                <w:szCs w:val="32"/>
                <w:highlight w:val="none"/>
                <w:u w:val="none"/>
                <w:vertAlign w:val="baseline"/>
                <w:lang w:val="en-US" w:eastAsia="zh-CN"/>
              </w:rPr>
            </w:pPr>
            <w:r>
              <w:rPr>
                <w:rFonts w:hint="eastAsia" w:ascii="Times New Roman" w:hAnsi="Times New Roman" w:eastAsia="仿宋_GB2312" w:cs="仿宋_GB2312"/>
                <w:sz w:val="32"/>
                <w:szCs w:val="32"/>
                <w:highlight w:val="none"/>
                <w:u w:val="none"/>
                <w:vertAlign w:val="baseline"/>
                <w:lang w:val="en-US" w:eastAsia="zh-CN"/>
              </w:rPr>
              <w:t>项目级别</w:t>
            </w:r>
          </w:p>
        </w:tc>
        <w:tc>
          <w:tcPr>
            <w:tcW w:w="1527" w:type="dxa"/>
          </w:tcPr>
          <w:p>
            <w:pPr>
              <w:keepNext w:val="0"/>
              <w:keepLines w:val="0"/>
              <w:pageBreakBefore w:val="0"/>
              <w:widowControl/>
              <w:kinsoku/>
              <w:wordWrap/>
              <w:overflowPunct/>
              <w:topLinePunct w:val="0"/>
              <w:autoSpaceDE/>
              <w:autoSpaceDN/>
              <w:bidi w:val="0"/>
              <w:spacing w:after="0" w:line="360" w:lineRule="auto"/>
              <w:ind w:right="0" w:rightChars="0"/>
              <w:jc w:val="center"/>
              <w:textAlignment w:val="auto"/>
              <w:outlineLvl w:val="9"/>
              <w:rPr>
                <w:rFonts w:hint="default" w:ascii="Times New Roman" w:hAnsi="Times New Roman" w:eastAsia="仿宋_GB2312" w:cs="仿宋_GB2312"/>
                <w:sz w:val="32"/>
                <w:szCs w:val="32"/>
                <w:highlight w:val="none"/>
                <w:u w:val="none"/>
                <w:vertAlign w:val="baseline"/>
                <w:lang w:val="en-US" w:eastAsia="zh-CN"/>
              </w:rPr>
            </w:pPr>
            <w:r>
              <w:rPr>
                <w:rFonts w:hint="eastAsia" w:ascii="Times New Roman" w:hAnsi="Times New Roman" w:eastAsia="仿宋_GB2312" w:cs="仿宋_GB2312"/>
                <w:sz w:val="32"/>
                <w:szCs w:val="32"/>
                <w:highlight w:val="none"/>
                <w:u w:val="none"/>
                <w:vertAlign w:val="baseline"/>
                <w:lang w:val="en-US" w:eastAsia="zh-CN"/>
              </w:rPr>
              <w:t>一等奖</w:t>
            </w:r>
          </w:p>
        </w:tc>
        <w:tc>
          <w:tcPr>
            <w:tcW w:w="1384" w:type="dxa"/>
          </w:tcPr>
          <w:p>
            <w:pPr>
              <w:keepNext w:val="0"/>
              <w:keepLines w:val="0"/>
              <w:pageBreakBefore w:val="0"/>
              <w:widowControl/>
              <w:kinsoku/>
              <w:wordWrap/>
              <w:overflowPunct/>
              <w:topLinePunct w:val="0"/>
              <w:autoSpaceDE/>
              <w:autoSpaceDN/>
              <w:bidi w:val="0"/>
              <w:spacing w:after="0" w:line="360" w:lineRule="auto"/>
              <w:ind w:right="0" w:rightChars="0"/>
              <w:jc w:val="center"/>
              <w:textAlignment w:val="auto"/>
              <w:outlineLvl w:val="9"/>
              <w:rPr>
                <w:rFonts w:hint="default" w:ascii="Times New Roman" w:hAnsi="Times New Roman" w:eastAsia="仿宋_GB2312" w:cs="仿宋_GB2312"/>
                <w:sz w:val="32"/>
                <w:szCs w:val="32"/>
                <w:highlight w:val="none"/>
                <w:u w:val="none"/>
                <w:vertAlign w:val="baseline"/>
                <w:lang w:val="en-US" w:eastAsia="zh-CN"/>
              </w:rPr>
            </w:pPr>
            <w:r>
              <w:rPr>
                <w:rFonts w:hint="eastAsia" w:ascii="Times New Roman" w:hAnsi="Times New Roman" w:eastAsia="仿宋_GB2312" w:cs="仿宋_GB2312"/>
                <w:sz w:val="32"/>
                <w:szCs w:val="32"/>
                <w:highlight w:val="none"/>
                <w:u w:val="none"/>
                <w:vertAlign w:val="baseline"/>
                <w:lang w:val="en-US" w:eastAsia="zh-CN"/>
              </w:rPr>
              <w:t>二等奖</w:t>
            </w:r>
          </w:p>
        </w:tc>
        <w:tc>
          <w:tcPr>
            <w:tcW w:w="1778" w:type="dxa"/>
          </w:tcPr>
          <w:p>
            <w:pPr>
              <w:keepNext w:val="0"/>
              <w:keepLines w:val="0"/>
              <w:pageBreakBefore w:val="0"/>
              <w:widowControl/>
              <w:kinsoku/>
              <w:wordWrap/>
              <w:overflowPunct/>
              <w:topLinePunct w:val="0"/>
              <w:autoSpaceDE/>
              <w:autoSpaceDN/>
              <w:bidi w:val="0"/>
              <w:spacing w:after="0" w:line="360" w:lineRule="auto"/>
              <w:ind w:right="0" w:rightChars="0"/>
              <w:jc w:val="center"/>
              <w:textAlignment w:val="auto"/>
              <w:outlineLvl w:val="9"/>
              <w:rPr>
                <w:rFonts w:hint="default" w:ascii="Times New Roman" w:hAnsi="Times New Roman" w:eastAsia="仿宋_GB2312" w:cs="仿宋_GB2312"/>
                <w:sz w:val="32"/>
                <w:szCs w:val="32"/>
                <w:highlight w:val="none"/>
                <w:u w:val="none"/>
                <w:vertAlign w:val="baseline"/>
                <w:lang w:val="en-US" w:eastAsia="zh-CN"/>
              </w:rPr>
            </w:pPr>
            <w:r>
              <w:rPr>
                <w:rFonts w:hint="eastAsia" w:ascii="Times New Roman" w:hAnsi="Times New Roman" w:eastAsia="仿宋_GB2312" w:cs="仿宋_GB2312"/>
                <w:sz w:val="32"/>
                <w:szCs w:val="32"/>
                <w:highlight w:val="none"/>
                <w:u w:val="none"/>
                <w:vertAlign w:val="baseline"/>
                <w:lang w:val="en-US" w:eastAsia="zh-CN"/>
              </w:rPr>
              <w:t>三等奖</w:t>
            </w:r>
          </w:p>
        </w:tc>
        <w:tc>
          <w:tcPr>
            <w:tcW w:w="1778" w:type="dxa"/>
          </w:tcPr>
          <w:p>
            <w:pPr>
              <w:keepNext w:val="0"/>
              <w:keepLines w:val="0"/>
              <w:pageBreakBefore w:val="0"/>
              <w:widowControl/>
              <w:kinsoku/>
              <w:wordWrap/>
              <w:overflowPunct/>
              <w:topLinePunct w:val="0"/>
              <w:autoSpaceDE/>
              <w:autoSpaceDN/>
              <w:bidi w:val="0"/>
              <w:spacing w:after="0" w:line="360" w:lineRule="auto"/>
              <w:ind w:right="0" w:rightChars="0"/>
              <w:jc w:val="center"/>
              <w:textAlignment w:val="auto"/>
              <w:outlineLvl w:val="9"/>
              <w:rPr>
                <w:rFonts w:hint="default" w:ascii="Times New Roman" w:hAnsi="Times New Roman" w:eastAsia="仿宋_GB2312" w:cs="仿宋_GB2312"/>
                <w:sz w:val="32"/>
                <w:szCs w:val="32"/>
                <w:highlight w:val="none"/>
                <w:u w:val="none"/>
                <w:vertAlign w:val="baseline"/>
                <w:lang w:val="en-US" w:eastAsia="zh-CN"/>
              </w:rPr>
            </w:pPr>
            <w:r>
              <w:rPr>
                <w:rFonts w:hint="eastAsia" w:ascii="Times New Roman" w:hAnsi="Times New Roman" w:eastAsia="仿宋_GB2312" w:cs="仿宋_GB2312"/>
                <w:sz w:val="32"/>
                <w:szCs w:val="32"/>
                <w:highlight w:val="none"/>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9" w:type="dxa"/>
            <w:vAlign w:val="center"/>
          </w:tcPr>
          <w:p>
            <w:pPr>
              <w:keepNext w:val="0"/>
              <w:keepLines w:val="0"/>
              <w:pageBreakBefore w:val="0"/>
              <w:widowControl/>
              <w:kinsoku/>
              <w:wordWrap/>
              <w:overflowPunct/>
              <w:topLinePunct w:val="0"/>
              <w:autoSpaceDE/>
              <w:autoSpaceDN/>
              <w:bidi w:val="0"/>
              <w:spacing w:after="0" w:line="360" w:lineRule="auto"/>
              <w:ind w:right="0" w:rightChars="0"/>
              <w:jc w:val="center"/>
              <w:textAlignment w:val="auto"/>
              <w:outlineLvl w:val="9"/>
              <w:rPr>
                <w:rFonts w:hint="default" w:ascii="Times New Roman" w:hAnsi="Times New Roman" w:eastAsia="仿宋_GB2312" w:cs="仿宋_GB2312"/>
                <w:sz w:val="32"/>
                <w:szCs w:val="32"/>
                <w:highlight w:val="none"/>
                <w:u w:val="none"/>
                <w:vertAlign w:val="baseline"/>
                <w:lang w:val="en-US" w:eastAsia="zh-CN"/>
              </w:rPr>
            </w:pPr>
            <w:r>
              <w:rPr>
                <w:rFonts w:hint="eastAsia" w:ascii="Times New Roman" w:hAnsi="Times New Roman" w:eastAsia="仿宋_GB2312" w:cs="仿宋_GB2312"/>
                <w:sz w:val="32"/>
                <w:szCs w:val="32"/>
                <w:highlight w:val="none"/>
                <w:u w:val="none"/>
                <w:vertAlign w:val="baseline"/>
                <w:lang w:val="en-US" w:eastAsia="zh-CN"/>
              </w:rPr>
              <w:t>国家级比赛</w:t>
            </w:r>
          </w:p>
        </w:tc>
        <w:tc>
          <w:tcPr>
            <w:tcW w:w="1527" w:type="dxa"/>
            <w:vAlign w:val="center"/>
          </w:tcPr>
          <w:p>
            <w:pPr>
              <w:keepNext w:val="0"/>
              <w:keepLines w:val="0"/>
              <w:pageBreakBefore w:val="0"/>
              <w:widowControl/>
              <w:kinsoku/>
              <w:wordWrap/>
              <w:overflowPunct/>
              <w:topLinePunct w:val="0"/>
              <w:autoSpaceDE/>
              <w:autoSpaceDN/>
              <w:bidi w:val="0"/>
              <w:spacing w:after="0" w:line="360" w:lineRule="auto"/>
              <w:ind w:right="0" w:rightChars="0"/>
              <w:jc w:val="center"/>
              <w:textAlignment w:val="auto"/>
              <w:outlineLvl w:val="9"/>
              <w:rPr>
                <w:rFonts w:hint="eastAsia" w:ascii="Times New Roman" w:hAnsi="Times New Roman" w:eastAsia="仿宋_GB2312" w:cs="仿宋_GB2312"/>
                <w:sz w:val="32"/>
                <w:szCs w:val="32"/>
                <w:highlight w:val="none"/>
                <w:u w:val="none"/>
                <w:vertAlign w:val="baseline"/>
                <w:lang w:val="en-US" w:eastAsia="zh-CN"/>
              </w:rPr>
            </w:pPr>
            <w:r>
              <w:rPr>
                <w:rFonts w:hint="eastAsia" w:ascii="Times New Roman" w:hAnsi="Times New Roman" w:eastAsia="仿宋_GB2312" w:cs="仿宋_GB2312"/>
                <w:sz w:val="32"/>
                <w:szCs w:val="32"/>
                <w:highlight w:val="none"/>
                <w:u w:val="none"/>
                <w:vertAlign w:val="baseline"/>
                <w:lang w:val="en-US" w:eastAsia="zh-CN"/>
              </w:rPr>
              <w:t>8</w:t>
            </w:r>
          </w:p>
        </w:tc>
        <w:tc>
          <w:tcPr>
            <w:tcW w:w="1384" w:type="dxa"/>
            <w:vAlign w:val="center"/>
          </w:tcPr>
          <w:p>
            <w:pPr>
              <w:keepNext w:val="0"/>
              <w:keepLines w:val="0"/>
              <w:pageBreakBefore w:val="0"/>
              <w:widowControl/>
              <w:kinsoku/>
              <w:wordWrap/>
              <w:overflowPunct/>
              <w:topLinePunct w:val="0"/>
              <w:autoSpaceDE/>
              <w:autoSpaceDN/>
              <w:bidi w:val="0"/>
              <w:spacing w:after="0" w:line="360" w:lineRule="auto"/>
              <w:ind w:right="0" w:rightChars="0"/>
              <w:jc w:val="center"/>
              <w:textAlignment w:val="auto"/>
              <w:outlineLvl w:val="9"/>
              <w:rPr>
                <w:rFonts w:hint="eastAsia" w:ascii="Times New Roman" w:hAnsi="Times New Roman" w:eastAsia="仿宋_GB2312" w:cs="仿宋_GB2312"/>
                <w:sz w:val="32"/>
                <w:szCs w:val="32"/>
                <w:highlight w:val="none"/>
                <w:u w:val="none"/>
                <w:vertAlign w:val="baseline"/>
                <w:lang w:val="en-US" w:eastAsia="zh-CN"/>
              </w:rPr>
            </w:pPr>
            <w:r>
              <w:rPr>
                <w:rFonts w:hint="eastAsia" w:ascii="Times New Roman" w:hAnsi="Times New Roman" w:eastAsia="仿宋_GB2312" w:cs="仿宋_GB2312"/>
                <w:sz w:val="32"/>
                <w:szCs w:val="32"/>
                <w:highlight w:val="none"/>
                <w:u w:val="none"/>
                <w:vertAlign w:val="baseline"/>
                <w:lang w:val="en-US" w:eastAsia="zh-CN"/>
              </w:rPr>
              <w:t>6</w:t>
            </w:r>
          </w:p>
        </w:tc>
        <w:tc>
          <w:tcPr>
            <w:tcW w:w="1778" w:type="dxa"/>
            <w:vAlign w:val="center"/>
          </w:tcPr>
          <w:p>
            <w:pPr>
              <w:keepNext w:val="0"/>
              <w:keepLines w:val="0"/>
              <w:pageBreakBefore w:val="0"/>
              <w:widowControl/>
              <w:kinsoku/>
              <w:wordWrap/>
              <w:overflowPunct/>
              <w:topLinePunct w:val="0"/>
              <w:autoSpaceDE/>
              <w:autoSpaceDN/>
              <w:bidi w:val="0"/>
              <w:spacing w:after="0" w:line="360" w:lineRule="auto"/>
              <w:ind w:right="0" w:rightChars="0"/>
              <w:jc w:val="center"/>
              <w:textAlignment w:val="auto"/>
              <w:outlineLvl w:val="9"/>
              <w:rPr>
                <w:rFonts w:hint="eastAsia" w:ascii="Times New Roman" w:hAnsi="Times New Roman" w:eastAsia="仿宋_GB2312" w:cs="仿宋_GB2312"/>
                <w:sz w:val="32"/>
                <w:szCs w:val="32"/>
                <w:highlight w:val="none"/>
                <w:u w:val="none"/>
                <w:vertAlign w:val="baseline"/>
                <w:lang w:val="en-US" w:eastAsia="zh-CN"/>
              </w:rPr>
            </w:pPr>
            <w:r>
              <w:rPr>
                <w:rFonts w:hint="eastAsia" w:ascii="Times New Roman" w:hAnsi="Times New Roman" w:eastAsia="仿宋_GB2312" w:cs="仿宋_GB2312"/>
                <w:sz w:val="32"/>
                <w:szCs w:val="32"/>
                <w:highlight w:val="none"/>
                <w:u w:val="none"/>
                <w:vertAlign w:val="baseline"/>
                <w:lang w:val="en-US" w:eastAsia="zh-CN"/>
              </w:rPr>
              <w:t>4</w:t>
            </w:r>
          </w:p>
        </w:tc>
        <w:tc>
          <w:tcPr>
            <w:tcW w:w="1778" w:type="dxa"/>
            <w:vAlign w:val="center"/>
          </w:tcPr>
          <w:p>
            <w:pPr>
              <w:keepNext w:val="0"/>
              <w:keepLines w:val="0"/>
              <w:pageBreakBefore w:val="0"/>
              <w:widowControl/>
              <w:kinsoku/>
              <w:wordWrap/>
              <w:overflowPunct/>
              <w:topLinePunct w:val="0"/>
              <w:autoSpaceDE/>
              <w:autoSpaceDN/>
              <w:bidi w:val="0"/>
              <w:spacing w:after="0" w:line="360" w:lineRule="auto"/>
              <w:ind w:right="0" w:rightChars="0"/>
              <w:jc w:val="center"/>
              <w:textAlignment w:val="auto"/>
              <w:outlineLvl w:val="9"/>
              <w:rPr>
                <w:rFonts w:hint="eastAsia" w:ascii="Times New Roman" w:hAnsi="Times New Roman" w:eastAsia="仿宋_GB2312" w:cs="仿宋_GB2312"/>
                <w:sz w:val="32"/>
                <w:szCs w:val="32"/>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9" w:type="dxa"/>
            <w:vAlign w:val="center"/>
          </w:tcPr>
          <w:p>
            <w:pPr>
              <w:keepNext w:val="0"/>
              <w:keepLines w:val="0"/>
              <w:pageBreakBefore w:val="0"/>
              <w:widowControl/>
              <w:kinsoku/>
              <w:wordWrap/>
              <w:overflowPunct/>
              <w:topLinePunct w:val="0"/>
              <w:autoSpaceDE/>
              <w:autoSpaceDN/>
              <w:bidi w:val="0"/>
              <w:spacing w:after="0" w:line="360" w:lineRule="auto"/>
              <w:ind w:right="0" w:rightChars="0"/>
              <w:jc w:val="center"/>
              <w:textAlignment w:val="auto"/>
              <w:outlineLvl w:val="9"/>
              <w:rPr>
                <w:rFonts w:hint="default" w:ascii="Times New Roman" w:hAnsi="Times New Roman" w:eastAsia="仿宋_GB2312" w:cs="仿宋_GB2312"/>
                <w:sz w:val="32"/>
                <w:szCs w:val="32"/>
                <w:highlight w:val="none"/>
                <w:u w:val="none"/>
                <w:vertAlign w:val="baseline"/>
                <w:lang w:val="en-US" w:eastAsia="zh-CN"/>
              </w:rPr>
            </w:pPr>
            <w:r>
              <w:rPr>
                <w:rFonts w:hint="eastAsia" w:ascii="Times New Roman" w:hAnsi="Times New Roman" w:eastAsia="仿宋_GB2312" w:cs="仿宋_GB2312"/>
                <w:sz w:val="32"/>
                <w:szCs w:val="32"/>
                <w:highlight w:val="none"/>
                <w:u w:val="none"/>
                <w:vertAlign w:val="baseline"/>
                <w:lang w:val="en-US" w:eastAsia="zh-CN"/>
              </w:rPr>
              <w:t>省级比赛</w:t>
            </w:r>
          </w:p>
        </w:tc>
        <w:tc>
          <w:tcPr>
            <w:tcW w:w="1527" w:type="dxa"/>
            <w:vAlign w:val="center"/>
          </w:tcPr>
          <w:p>
            <w:pPr>
              <w:keepNext w:val="0"/>
              <w:keepLines w:val="0"/>
              <w:pageBreakBefore w:val="0"/>
              <w:widowControl/>
              <w:kinsoku/>
              <w:wordWrap/>
              <w:overflowPunct/>
              <w:topLinePunct w:val="0"/>
              <w:autoSpaceDE/>
              <w:autoSpaceDN/>
              <w:bidi w:val="0"/>
              <w:spacing w:after="0" w:line="360" w:lineRule="auto"/>
              <w:ind w:right="0" w:rightChars="0"/>
              <w:jc w:val="center"/>
              <w:textAlignment w:val="auto"/>
              <w:outlineLvl w:val="9"/>
              <w:rPr>
                <w:rFonts w:hint="eastAsia" w:ascii="Times New Roman" w:hAnsi="Times New Roman" w:eastAsia="仿宋_GB2312" w:cs="仿宋_GB2312"/>
                <w:sz w:val="32"/>
                <w:szCs w:val="32"/>
                <w:highlight w:val="none"/>
                <w:u w:val="none"/>
                <w:vertAlign w:val="baseline"/>
                <w:lang w:val="en-US" w:eastAsia="zh-CN"/>
              </w:rPr>
            </w:pPr>
            <w:r>
              <w:rPr>
                <w:rFonts w:hint="eastAsia" w:ascii="Times New Roman" w:hAnsi="Times New Roman" w:eastAsia="仿宋_GB2312" w:cs="仿宋_GB2312"/>
                <w:sz w:val="32"/>
                <w:szCs w:val="32"/>
                <w:highlight w:val="none"/>
                <w:u w:val="none"/>
                <w:vertAlign w:val="baseline"/>
                <w:lang w:val="en-US" w:eastAsia="zh-CN"/>
              </w:rPr>
              <w:t>4</w:t>
            </w:r>
          </w:p>
        </w:tc>
        <w:tc>
          <w:tcPr>
            <w:tcW w:w="1384" w:type="dxa"/>
            <w:vAlign w:val="center"/>
          </w:tcPr>
          <w:p>
            <w:pPr>
              <w:keepNext w:val="0"/>
              <w:keepLines w:val="0"/>
              <w:pageBreakBefore w:val="0"/>
              <w:widowControl/>
              <w:kinsoku/>
              <w:wordWrap/>
              <w:overflowPunct/>
              <w:topLinePunct w:val="0"/>
              <w:autoSpaceDE/>
              <w:autoSpaceDN/>
              <w:bidi w:val="0"/>
              <w:spacing w:after="0" w:line="360" w:lineRule="auto"/>
              <w:ind w:right="0" w:rightChars="0"/>
              <w:jc w:val="center"/>
              <w:textAlignment w:val="auto"/>
              <w:outlineLvl w:val="9"/>
              <w:rPr>
                <w:rFonts w:hint="eastAsia" w:ascii="Times New Roman" w:hAnsi="Times New Roman" w:eastAsia="仿宋_GB2312" w:cs="仿宋_GB2312"/>
                <w:sz w:val="32"/>
                <w:szCs w:val="32"/>
                <w:highlight w:val="none"/>
                <w:u w:val="none"/>
                <w:vertAlign w:val="baseline"/>
                <w:lang w:val="en-US" w:eastAsia="zh-CN"/>
              </w:rPr>
            </w:pPr>
            <w:r>
              <w:rPr>
                <w:rFonts w:hint="eastAsia" w:ascii="Times New Roman" w:hAnsi="Times New Roman" w:eastAsia="仿宋_GB2312" w:cs="仿宋_GB2312"/>
                <w:sz w:val="32"/>
                <w:szCs w:val="32"/>
                <w:highlight w:val="none"/>
                <w:u w:val="none"/>
                <w:vertAlign w:val="baseline"/>
                <w:lang w:val="en-US" w:eastAsia="zh-CN"/>
              </w:rPr>
              <w:t>3</w:t>
            </w:r>
          </w:p>
        </w:tc>
        <w:tc>
          <w:tcPr>
            <w:tcW w:w="1778" w:type="dxa"/>
            <w:vAlign w:val="center"/>
          </w:tcPr>
          <w:p>
            <w:pPr>
              <w:keepNext w:val="0"/>
              <w:keepLines w:val="0"/>
              <w:pageBreakBefore w:val="0"/>
              <w:widowControl/>
              <w:kinsoku/>
              <w:wordWrap/>
              <w:overflowPunct/>
              <w:topLinePunct w:val="0"/>
              <w:autoSpaceDE/>
              <w:autoSpaceDN/>
              <w:bidi w:val="0"/>
              <w:spacing w:after="0" w:line="360" w:lineRule="auto"/>
              <w:ind w:right="0" w:rightChars="0"/>
              <w:jc w:val="center"/>
              <w:textAlignment w:val="auto"/>
              <w:outlineLvl w:val="9"/>
              <w:rPr>
                <w:rFonts w:hint="eastAsia" w:ascii="Times New Roman" w:hAnsi="Times New Roman" w:eastAsia="仿宋_GB2312" w:cs="仿宋_GB2312"/>
                <w:sz w:val="32"/>
                <w:szCs w:val="32"/>
                <w:highlight w:val="none"/>
                <w:u w:val="none"/>
                <w:vertAlign w:val="baseline"/>
                <w:lang w:val="en-US" w:eastAsia="zh-CN"/>
              </w:rPr>
            </w:pPr>
            <w:r>
              <w:rPr>
                <w:rFonts w:hint="eastAsia" w:ascii="Times New Roman" w:hAnsi="Times New Roman" w:eastAsia="仿宋_GB2312" w:cs="仿宋_GB2312"/>
                <w:sz w:val="32"/>
                <w:szCs w:val="32"/>
                <w:highlight w:val="none"/>
                <w:u w:val="none"/>
                <w:vertAlign w:val="baseline"/>
                <w:lang w:val="en-US" w:eastAsia="zh-CN"/>
              </w:rPr>
              <w:t>2</w:t>
            </w:r>
          </w:p>
        </w:tc>
        <w:tc>
          <w:tcPr>
            <w:tcW w:w="1778" w:type="dxa"/>
            <w:vAlign w:val="center"/>
          </w:tcPr>
          <w:p>
            <w:pPr>
              <w:keepNext w:val="0"/>
              <w:keepLines w:val="0"/>
              <w:pageBreakBefore w:val="0"/>
              <w:widowControl/>
              <w:kinsoku/>
              <w:wordWrap/>
              <w:overflowPunct/>
              <w:topLinePunct w:val="0"/>
              <w:autoSpaceDE/>
              <w:autoSpaceDN/>
              <w:bidi w:val="0"/>
              <w:spacing w:after="0" w:line="360" w:lineRule="auto"/>
              <w:ind w:right="0" w:rightChars="0"/>
              <w:jc w:val="center"/>
              <w:textAlignment w:val="auto"/>
              <w:outlineLvl w:val="9"/>
              <w:rPr>
                <w:rFonts w:hint="default" w:ascii="Times New Roman" w:hAnsi="Times New Roman" w:eastAsia="仿宋_GB2312" w:cs="仿宋_GB2312"/>
                <w:sz w:val="32"/>
                <w:szCs w:val="32"/>
                <w:highlight w:val="none"/>
                <w:u w:val="none"/>
                <w:vertAlign w:val="baseline"/>
                <w:lang w:val="en-US" w:eastAsia="zh-CN"/>
              </w:rPr>
            </w:pPr>
            <w:r>
              <w:rPr>
                <w:rFonts w:hint="eastAsia" w:ascii="Times New Roman" w:hAnsi="Times New Roman" w:eastAsia="仿宋_GB2312" w:cs="仿宋_GB2312"/>
                <w:sz w:val="32"/>
                <w:szCs w:val="32"/>
                <w:highlight w:val="none"/>
                <w:u w:val="none"/>
                <w:vertAlign w:val="baseline"/>
                <w:lang w:val="en-US" w:eastAsia="zh-CN"/>
              </w:rPr>
              <w:t>此项8分封顶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9" w:type="dxa"/>
            <w:vAlign w:val="center"/>
          </w:tcPr>
          <w:p>
            <w:pPr>
              <w:keepNext w:val="0"/>
              <w:keepLines w:val="0"/>
              <w:pageBreakBefore w:val="0"/>
              <w:widowControl/>
              <w:kinsoku/>
              <w:wordWrap/>
              <w:overflowPunct/>
              <w:topLinePunct w:val="0"/>
              <w:autoSpaceDE/>
              <w:autoSpaceDN/>
              <w:bidi w:val="0"/>
              <w:spacing w:after="0" w:line="360" w:lineRule="auto"/>
              <w:ind w:right="0" w:rightChars="0"/>
              <w:jc w:val="center"/>
              <w:textAlignment w:val="auto"/>
              <w:outlineLvl w:val="9"/>
              <w:rPr>
                <w:rFonts w:hint="default" w:ascii="Times New Roman" w:hAnsi="Times New Roman" w:eastAsia="仿宋_GB2312" w:cs="仿宋_GB2312"/>
                <w:sz w:val="32"/>
                <w:szCs w:val="32"/>
                <w:highlight w:val="none"/>
                <w:u w:val="none"/>
                <w:vertAlign w:val="baseline"/>
                <w:lang w:val="en-US" w:eastAsia="zh-CN"/>
              </w:rPr>
            </w:pPr>
            <w:r>
              <w:rPr>
                <w:rFonts w:hint="eastAsia" w:ascii="Times New Roman" w:hAnsi="Times New Roman" w:eastAsia="仿宋_GB2312" w:cs="仿宋_GB2312"/>
                <w:sz w:val="32"/>
                <w:szCs w:val="32"/>
                <w:highlight w:val="none"/>
                <w:u w:val="none"/>
                <w:vertAlign w:val="baseline"/>
                <w:lang w:val="en-US" w:eastAsia="zh-CN"/>
              </w:rPr>
              <w:t>校级比赛</w:t>
            </w:r>
          </w:p>
        </w:tc>
        <w:tc>
          <w:tcPr>
            <w:tcW w:w="1527" w:type="dxa"/>
            <w:vAlign w:val="center"/>
          </w:tcPr>
          <w:p>
            <w:pPr>
              <w:keepNext w:val="0"/>
              <w:keepLines w:val="0"/>
              <w:pageBreakBefore w:val="0"/>
              <w:widowControl/>
              <w:kinsoku/>
              <w:wordWrap/>
              <w:overflowPunct/>
              <w:topLinePunct w:val="0"/>
              <w:autoSpaceDE/>
              <w:autoSpaceDN/>
              <w:bidi w:val="0"/>
              <w:spacing w:after="0" w:line="360" w:lineRule="auto"/>
              <w:ind w:right="0" w:rightChars="0"/>
              <w:jc w:val="center"/>
              <w:textAlignment w:val="auto"/>
              <w:outlineLvl w:val="9"/>
              <w:rPr>
                <w:rFonts w:hint="default" w:ascii="Times New Roman" w:hAnsi="Times New Roman" w:eastAsia="仿宋_GB2312" w:cs="仿宋_GB2312"/>
                <w:sz w:val="32"/>
                <w:szCs w:val="32"/>
                <w:highlight w:val="none"/>
                <w:u w:val="none"/>
                <w:vertAlign w:val="baseline"/>
                <w:lang w:val="en-US" w:eastAsia="zh-CN"/>
              </w:rPr>
            </w:pPr>
            <w:r>
              <w:rPr>
                <w:rFonts w:hint="eastAsia" w:ascii="Times New Roman" w:hAnsi="Times New Roman" w:eastAsia="仿宋_GB2312" w:cs="仿宋_GB2312"/>
                <w:sz w:val="32"/>
                <w:szCs w:val="32"/>
                <w:highlight w:val="none"/>
                <w:u w:val="none"/>
                <w:vertAlign w:val="baseline"/>
                <w:lang w:val="en-US" w:eastAsia="zh-CN"/>
              </w:rPr>
              <w:t>1.5</w:t>
            </w:r>
          </w:p>
        </w:tc>
        <w:tc>
          <w:tcPr>
            <w:tcW w:w="1384" w:type="dxa"/>
            <w:vAlign w:val="center"/>
          </w:tcPr>
          <w:p>
            <w:pPr>
              <w:keepNext w:val="0"/>
              <w:keepLines w:val="0"/>
              <w:pageBreakBefore w:val="0"/>
              <w:widowControl/>
              <w:kinsoku/>
              <w:wordWrap/>
              <w:overflowPunct/>
              <w:topLinePunct w:val="0"/>
              <w:autoSpaceDE/>
              <w:autoSpaceDN/>
              <w:bidi w:val="0"/>
              <w:spacing w:after="0" w:line="360" w:lineRule="auto"/>
              <w:ind w:right="0" w:rightChars="0"/>
              <w:jc w:val="center"/>
              <w:textAlignment w:val="auto"/>
              <w:outlineLvl w:val="9"/>
              <w:rPr>
                <w:rFonts w:hint="eastAsia" w:ascii="Times New Roman" w:hAnsi="Times New Roman" w:eastAsia="仿宋_GB2312" w:cs="仿宋_GB2312"/>
                <w:sz w:val="32"/>
                <w:szCs w:val="32"/>
                <w:highlight w:val="none"/>
                <w:u w:val="none"/>
                <w:vertAlign w:val="baseline"/>
                <w:lang w:val="en-US" w:eastAsia="zh-CN"/>
              </w:rPr>
            </w:pPr>
            <w:r>
              <w:rPr>
                <w:rFonts w:hint="eastAsia" w:ascii="Times New Roman" w:hAnsi="Times New Roman" w:eastAsia="仿宋_GB2312" w:cs="仿宋_GB2312"/>
                <w:sz w:val="32"/>
                <w:szCs w:val="32"/>
                <w:highlight w:val="none"/>
                <w:u w:val="none"/>
                <w:vertAlign w:val="baseline"/>
                <w:lang w:val="en-US" w:eastAsia="zh-CN"/>
              </w:rPr>
              <w:t>1</w:t>
            </w:r>
          </w:p>
        </w:tc>
        <w:tc>
          <w:tcPr>
            <w:tcW w:w="1778" w:type="dxa"/>
            <w:vAlign w:val="center"/>
          </w:tcPr>
          <w:p>
            <w:pPr>
              <w:keepNext w:val="0"/>
              <w:keepLines w:val="0"/>
              <w:pageBreakBefore w:val="0"/>
              <w:widowControl/>
              <w:kinsoku/>
              <w:wordWrap/>
              <w:overflowPunct/>
              <w:topLinePunct w:val="0"/>
              <w:autoSpaceDE/>
              <w:autoSpaceDN/>
              <w:bidi w:val="0"/>
              <w:spacing w:after="0" w:line="360" w:lineRule="auto"/>
              <w:ind w:right="0" w:rightChars="0"/>
              <w:jc w:val="center"/>
              <w:textAlignment w:val="auto"/>
              <w:outlineLvl w:val="9"/>
              <w:rPr>
                <w:rFonts w:hint="default" w:ascii="Times New Roman" w:hAnsi="Times New Roman" w:eastAsia="仿宋_GB2312" w:cs="仿宋_GB2312"/>
                <w:sz w:val="32"/>
                <w:szCs w:val="32"/>
                <w:highlight w:val="none"/>
                <w:u w:val="none"/>
                <w:vertAlign w:val="baseline"/>
                <w:lang w:val="en-US" w:eastAsia="zh-CN"/>
              </w:rPr>
            </w:pPr>
            <w:r>
              <w:rPr>
                <w:rFonts w:hint="eastAsia" w:ascii="Times New Roman" w:hAnsi="Times New Roman" w:eastAsia="仿宋_GB2312" w:cs="仿宋_GB2312"/>
                <w:sz w:val="32"/>
                <w:szCs w:val="32"/>
                <w:highlight w:val="none"/>
                <w:u w:val="none"/>
                <w:vertAlign w:val="baseline"/>
                <w:lang w:val="en-US" w:eastAsia="zh-CN"/>
              </w:rPr>
              <w:t>0.8</w:t>
            </w:r>
          </w:p>
        </w:tc>
        <w:tc>
          <w:tcPr>
            <w:tcW w:w="1778" w:type="dxa"/>
            <w:vAlign w:val="center"/>
          </w:tcPr>
          <w:p>
            <w:pPr>
              <w:keepNext w:val="0"/>
              <w:keepLines w:val="0"/>
              <w:pageBreakBefore w:val="0"/>
              <w:widowControl/>
              <w:kinsoku/>
              <w:wordWrap/>
              <w:overflowPunct/>
              <w:topLinePunct w:val="0"/>
              <w:autoSpaceDE/>
              <w:autoSpaceDN/>
              <w:bidi w:val="0"/>
              <w:spacing w:after="0" w:line="360" w:lineRule="auto"/>
              <w:ind w:right="0" w:rightChars="0"/>
              <w:jc w:val="center"/>
              <w:textAlignment w:val="auto"/>
              <w:outlineLvl w:val="9"/>
              <w:rPr>
                <w:rFonts w:hint="default" w:ascii="Times New Roman" w:hAnsi="Times New Roman" w:eastAsia="仿宋_GB2312" w:cs="仿宋_GB2312"/>
                <w:sz w:val="32"/>
                <w:szCs w:val="32"/>
                <w:highlight w:val="none"/>
                <w:u w:val="none"/>
                <w:vertAlign w:val="baseline"/>
                <w:lang w:val="en-US" w:eastAsia="zh-CN"/>
              </w:rPr>
            </w:pPr>
            <w:r>
              <w:rPr>
                <w:rFonts w:hint="eastAsia" w:ascii="Times New Roman" w:hAnsi="Times New Roman" w:eastAsia="仿宋_GB2312" w:cs="仿宋_GB2312"/>
                <w:sz w:val="32"/>
                <w:szCs w:val="32"/>
                <w:highlight w:val="none"/>
                <w:u w:val="none"/>
                <w:vertAlign w:val="baseline"/>
                <w:lang w:val="en-US" w:eastAsia="zh-CN"/>
              </w:rPr>
              <w:t>此项3分封顶</w:t>
            </w:r>
          </w:p>
        </w:tc>
      </w:tr>
    </w:tbl>
    <w:p>
      <w:pPr>
        <w:keepNext w:val="0"/>
        <w:keepLines w:val="0"/>
        <w:pageBreakBefore w:val="0"/>
        <w:widowControl/>
        <w:kinsoku/>
        <w:wordWrap/>
        <w:overflowPunct/>
        <w:topLinePunct w:val="0"/>
        <w:autoSpaceDE/>
        <w:autoSpaceDN/>
        <w:bidi w:val="0"/>
        <w:spacing w:after="0" w:line="36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lang w:val="en-US" w:eastAsia="zh-CN"/>
        </w:rPr>
        <w:t>研究生部（党委研究生工作部）等学校职能部门组织的各类赛事属于校级赛事。除体育类团体、集体类技能竞赛项目，以该运动项目竞赛规程规定参赛人数为准，其他团体奖项（排名前三）计分。</w:t>
      </w:r>
    </w:p>
    <w:p>
      <w:pPr>
        <w:keepNext w:val="0"/>
        <w:keepLines w:val="0"/>
        <w:pageBreakBefore w:val="0"/>
        <w:widowControl/>
        <w:kinsoku/>
        <w:wordWrap/>
        <w:overflowPunct/>
        <w:topLinePunct w:val="0"/>
        <w:autoSpaceDE/>
        <w:autoSpaceDN/>
        <w:bidi w:val="0"/>
        <w:spacing w:after="0" w:line="360" w:lineRule="auto"/>
        <w:ind w:left="0" w:leftChars="0" w:right="0" w:rightChars="0" w:firstLine="643" w:firstLineChars="200"/>
        <w:jc w:val="both"/>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b/>
          <w:bCs/>
          <w:sz w:val="32"/>
          <w:szCs w:val="32"/>
          <w:highlight w:val="none"/>
          <w:u w:val="none"/>
        </w:rPr>
        <w:t>第十一条</w:t>
      </w:r>
      <w:r>
        <w:rPr>
          <w:rFonts w:hint="eastAsia" w:ascii="Times New Roman" w:hAnsi="Times New Roman" w:eastAsia="仿宋_GB2312" w:cs="仿宋_GB2312"/>
          <w:sz w:val="32"/>
          <w:szCs w:val="32"/>
          <w:highlight w:val="none"/>
          <w:u w:val="none"/>
        </w:rPr>
        <w:t xml:space="preserve"> 减分项（A4）的计算依据：</w:t>
      </w:r>
    </w:p>
    <w:p>
      <w:pPr>
        <w:keepNext w:val="0"/>
        <w:keepLines w:val="0"/>
        <w:pageBreakBefore w:val="0"/>
        <w:widowControl/>
        <w:kinsoku/>
        <w:wordWrap/>
        <w:overflowPunct/>
        <w:topLinePunct w:val="0"/>
        <w:autoSpaceDE/>
        <w:autoSpaceDN/>
        <w:bidi w:val="0"/>
        <w:spacing w:after="0" w:line="36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1．无故缺席学校</w:t>
      </w:r>
      <w:r>
        <w:rPr>
          <w:rFonts w:hint="eastAsia" w:ascii="Times New Roman" w:hAnsi="Times New Roman" w:eastAsia="仿宋_GB2312" w:cs="仿宋_GB2312"/>
          <w:sz w:val="32"/>
          <w:szCs w:val="32"/>
          <w:highlight w:val="none"/>
          <w:u w:val="none"/>
          <w:lang w:eastAsia="zh-CN"/>
        </w:rPr>
        <w:t>、</w:t>
      </w:r>
      <w:r>
        <w:rPr>
          <w:rFonts w:hint="eastAsia" w:ascii="Times New Roman" w:hAnsi="Times New Roman" w:eastAsia="仿宋_GB2312" w:cs="仿宋_GB2312"/>
          <w:sz w:val="32"/>
          <w:szCs w:val="32"/>
          <w:highlight w:val="none"/>
          <w:u w:val="none"/>
        </w:rPr>
        <w:t>研究生部</w:t>
      </w:r>
      <w:r>
        <w:rPr>
          <w:rFonts w:hint="eastAsia" w:ascii="Times New Roman" w:hAnsi="Times New Roman" w:eastAsia="仿宋_GB2312" w:cs="仿宋_GB2312"/>
          <w:sz w:val="32"/>
          <w:szCs w:val="32"/>
          <w:highlight w:val="none"/>
          <w:u w:val="none"/>
          <w:lang w:eastAsia="zh-CN"/>
        </w:rPr>
        <w:t>（</w:t>
      </w:r>
      <w:r>
        <w:rPr>
          <w:rFonts w:hint="eastAsia" w:ascii="Times New Roman" w:hAnsi="Times New Roman" w:eastAsia="仿宋_GB2312" w:cs="仿宋_GB2312"/>
          <w:sz w:val="32"/>
          <w:szCs w:val="32"/>
          <w:highlight w:val="none"/>
          <w:u w:val="none"/>
          <w:lang w:val="en-US" w:eastAsia="zh-CN"/>
        </w:rPr>
        <w:t>党委研究生工作部</w:t>
      </w:r>
      <w:r>
        <w:rPr>
          <w:rFonts w:hint="eastAsia" w:ascii="Times New Roman" w:hAnsi="Times New Roman" w:eastAsia="仿宋_GB2312" w:cs="仿宋_GB2312"/>
          <w:sz w:val="32"/>
          <w:szCs w:val="32"/>
          <w:highlight w:val="none"/>
          <w:u w:val="none"/>
          <w:lang w:eastAsia="zh-CN"/>
        </w:rPr>
        <w:t>）</w:t>
      </w:r>
      <w:r>
        <w:rPr>
          <w:rFonts w:hint="eastAsia" w:ascii="Times New Roman" w:hAnsi="Times New Roman" w:eastAsia="仿宋_GB2312" w:cs="仿宋_GB2312"/>
          <w:sz w:val="32"/>
          <w:szCs w:val="32"/>
          <w:highlight w:val="none"/>
          <w:u w:val="none"/>
        </w:rPr>
        <w:t>、校团学组织、培养单位、班级</w:t>
      </w:r>
      <w:r>
        <w:rPr>
          <w:rFonts w:hint="eastAsia" w:ascii="Times New Roman" w:hAnsi="Times New Roman" w:eastAsia="仿宋_GB2312" w:cs="仿宋_GB2312"/>
          <w:sz w:val="32"/>
          <w:szCs w:val="32"/>
          <w:highlight w:val="none"/>
          <w:u w:val="none"/>
          <w:lang w:eastAsia="zh-CN"/>
        </w:rPr>
        <w:t>、</w:t>
      </w:r>
      <w:r>
        <w:rPr>
          <w:rFonts w:hint="eastAsia" w:ascii="Times New Roman" w:hAnsi="Times New Roman" w:eastAsia="仿宋_GB2312" w:cs="仿宋_GB2312"/>
          <w:sz w:val="32"/>
          <w:szCs w:val="32"/>
          <w:highlight w:val="none"/>
          <w:u w:val="none"/>
          <w:lang w:val="en-US" w:eastAsia="zh-CN"/>
        </w:rPr>
        <w:t>党（团）支部</w:t>
      </w:r>
      <w:r>
        <w:rPr>
          <w:rFonts w:hint="eastAsia" w:ascii="Times New Roman" w:hAnsi="Times New Roman" w:eastAsia="仿宋_GB2312" w:cs="仿宋_GB2312"/>
          <w:sz w:val="32"/>
          <w:szCs w:val="32"/>
          <w:highlight w:val="none"/>
          <w:u w:val="none"/>
        </w:rPr>
        <w:t>等组织的各项活动者（含政治学习、组织生活、会议、集体活动、义务劳动等），每次依次扣2、1.5、1、0.5分。</w:t>
      </w:r>
    </w:p>
    <w:p>
      <w:pPr>
        <w:keepNext w:val="0"/>
        <w:keepLines w:val="0"/>
        <w:pageBreakBefore w:val="0"/>
        <w:widowControl/>
        <w:kinsoku/>
        <w:wordWrap/>
        <w:overflowPunct/>
        <w:topLinePunct w:val="0"/>
        <w:autoSpaceDE/>
        <w:autoSpaceDN/>
        <w:bidi w:val="0"/>
        <w:spacing w:after="0" w:line="36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2．</w:t>
      </w:r>
      <w:r>
        <w:rPr>
          <w:rFonts w:hint="eastAsia" w:ascii="Times New Roman" w:hAnsi="Times New Roman" w:eastAsia="仿宋_GB2312" w:cs="仿宋_GB2312"/>
          <w:sz w:val="32"/>
          <w:szCs w:val="32"/>
          <w:highlight w:val="none"/>
          <w:u w:val="none"/>
          <w:lang w:val="en-US" w:eastAsia="zh-CN"/>
        </w:rPr>
        <w:t>课堂教学</w:t>
      </w:r>
      <w:r>
        <w:rPr>
          <w:rFonts w:hint="eastAsia" w:ascii="Times New Roman" w:hAnsi="Times New Roman" w:eastAsia="仿宋_GB2312" w:cs="仿宋_GB2312"/>
          <w:sz w:val="32"/>
          <w:szCs w:val="32"/>
          <w:highlight w:val="none"/>
          <w:u w:val="none"/>
        </w:rPr>
        <w:t>中</w:t>
      </w:r>
      <w:r>
        <w:rPr>
          <w:rFonts w:hint="eastAsia" w:ascii="Times New Roman" w:hAnsi="Times New Roman" w:eastAsia="仿宋_GB2312" w:cs="仿宋_GB2312"/>
          <w:sz w:val="32"/>
          <w:szCs w:val="32"/>
          <w:highlight w:val="none"/>
          <w:u w:val="none"/>
          <w:lang w:val="en-US" w:eastAsia="zh-CN"/>
        </w:rPr>
        <w:t>出现</w:t>
      </w:r>
      <w:r>
        <w:rPr>
          <w:rFonts w:hint="eastAsia" w:ascii="Times New Roman" w:hAnsi="Times New Roman" w:eastAsia="仿宋_GB2312" w:cs="仿宋_GB2312"/>
          <w:sz w:val="32"/>
          <w:szCs w:val="32"/>
          <w:highlight w:val="none"/>
          <w:u w:val="none"/>
        </w:rPr>
        <w:t>旷课和请假</w:t>
      </w:r>
      <w:r>
        <w:rPr>
          <w:rFonts w:hint="eastAsia" w:ascii="Times New Roman" w:hAnsi="Times New Roman" w:eastAsia="仿宋_GB2312" w:cs="仿宋_GB2312"/>
          <w:sz w:val="32"/>
          <w:szCs w:val="32"/>
          <w:highlight w:val="none"/>
          <w:u w:val="none"/>
          <w:lang w:val="en-US" w:eastAsia="zh-CN"/>
        </w:rPr>
        <w:t>情况</w:t>
      </w:r>
      <w:r>
        <w:rPr>
          <w:rFonts w:hint="eastAsia" w:ascii="Times New Roman" w:hAnsi="Times New Roman" w:eastAsia="仿宋_GB2312" w:cs="仿宋_GB2312"/>
          <w:sz w:val="32"/>
          <w:szCs w:val="32"/>
          <w:highlight w:val="none"/>
          <w:u w:val="none"/>
        </w:rPr>
        <w:t>，旷课每次扣1分，请假3次计1次旷课，不足3次的不计算。</w:t>
      </w:r>
    </w:p>
    <w:p>
      <w:pPr>
        <w:keepNext w:val="0"/>
        <w:keepLines w:val="0"/>
        <w:pageBreakBefore w:val="0"/>
        <w:widowControl/>
        <w:kinsoku/>
        <w:wordWrap/>
        <w:overflowPunct/>
        <w:topLinePunct w:val="0"/>
        <w:autoSpaceDE/>
        <w:autoSpaceDN/>
        <w:bidi w:val="0"/>
        <w:spacing w:after="0" w:line="36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highlight w:val="none"/>
          <w:u w:val="none"/>
          <w:lang w:val="en-US" w:eastAsia="zh-CN"/>
        </w:rPr>
      </w:pPr>
      <w:r>
        <w:rPr>
          <w:rFonts w:hint="eastAsia" w:ascii="Times New Roman" w:hAnsi="Times New Roman" w:eastAsia="仿宋_GB2312" w:cs="仿宋_GB2312"/>
          <w:sz w:val="32"/>
          <w:szCs w:val="32"/>
          <w:highlight w:val="none"/>
          <w:u w:val="none"/>
        </w:rPr>
        <w:t>3．未经请假</w:t>
      </w:r>
      <w:r>
        <w:rPr>
          <w:rFonts w:hint="eastAsia" w:ascii="Times New Roman" w:hAnsi="Times New Roman" w:eastAsia="仿宋_GB2312" w:cs="仿宋_GB2312"/>
          <w:sz w:val="32"/>
          <w:szCs w:val="32"/>
          <w:highlight w:val="none"/>
          <w:u w:val="none"/>
          <w:lang w:eastAsia="zh-CN"/>
        </w:rPr>
        <w:t>，</w:t>
      </w:r>
      <w:r>
        <w:rPr>
          <w:rFonts w:hint="eastAsia" w:ascii="Times New Roman" w:hAnsi="Times New Roman" w:eastAsia="仿宋_GB2312" w:cs="仿宋_GB2312"/>
          <w:sz w:val="32"/>
          <w:szCs w:val="32"/>
          <w:highlight w:val="none"/>
          <w:u w:val="none"/>
        </w:rPr>
        <w:t>开学初</w:t>
      </w:r>
      <w:r>
        <w:rPr>
          <w:rFonts w:hint="eastAsia" w:ascii="Times New Roman" w:hAnsi="Times New Roman" w:eastAsia="仿宋_GB2312" w:cs="仿宋_GB2312"/>
          <w:sz w:val="32"/>
          <w:szCs w:val="32"/>
          <w:highlight w:val="none"/>
          <w:u w:val="none"/>
          <w:lang w:val="en-US" w:eastAsia="zh-CN"/>
        </w:rPr>
        <w:t>未</w:t>
      </w:r>
      <w:r>
        <w:rPr>
          <w:rFonts w:hint="eastAsia" w:ascii="Times New Roman" w:hAnsi="Times New Roman" w:eastAsia="仿宋_GB2312" w:cs="仿宋_GB2312"/>
          <w:sz w:val="32"/>
          <w:szCs w:val="32"/>
          <w:highlight w:val="none"/>
          <w:u w:val="none"/>
        </w:rPr>
        <w:t>按时返校报到注册者，时间在7天以上、4-6天、2-3天的，每次分别扣2、1.5、1分。</w:t>
      </w:r>
    </w:p>
    <w:p>
      <w:pPr>
        <w:keepNext w:val="0"/>
        <w:keepLines w:val="0"/>
        <w:pageBreakBefore w:val="0"/>
        <w:widowControl/>
        <w:kinsoku/>
        <w:wordWrap/>
        <w:overflowPunct/>
        <w:topLinePunct w:val="0"/>
        <w:autoSpaceDE/>
        <w:autoSpaceDN/>
        <w:bidi w:val="0"/>
        <w:spacing w:after="0" w:line="36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highlight w:val="none"/>
          <w:u w:val="none"/>
        </w:rPr>
      </w:pP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jc w:val="center"/>
        <w:textAlignment w:val="auto"/>
        <w:outlineLvl w:val="9"/>
        <w:rPr>
          <w:rFonts w:hint="eastAsia" w:ascii="Times New Roman" w:hAnsi="Times New Roman" w:eastAsia="仿宋_GB2312" w:cs="仿宋_GB2312"/>
          <w:kern w:val="2"/>
          <w:sz w:val="32"/>
          <w:szCs w:val="32"/>
          <w:highlight w:val="none"/>
          <w:u w:val="none"/>
        </w:rPr>
      </w:pPr>
      <w:r>
        <w:rPr>
          <w:rFonts w:hint="eastAsia" w:ascii="Times New Roman" w:hAnsi="Times New Roman" w:eastAsia="仿宋_GB2312" w:cs="仿宋_GB2312"/>
          <w:b/>
          <w:bCs/>
          <w:kern w:val="2"/>
          <w:sz w:val="32"/>
          <w:szCs w:val="32"/>
          <w:highlight w:val="none"/>
          <w:u w:val="none"/>
        </w:rPr>
        <w:t>第四章 学习成绩评定</w:t>
      </w:r>
    </w:p>
    <w:p>
      <w:pPr>
        <w:keepNext w:val="0"/>
        <w:keepLines w:val="0"/>
        <w:pageBreakBefore w:val="0"/>
        <w:widowControl/>
        <w:kinsoku/>
        <w:wordWrap/>
        <w:overflowPunct/>
        <w:topLinePunct w:val="0"/>
        <w:autoSpaceDE/>
        <w:autoSpaceDN/>
        <w:bidi w:val="0"/>
        <w:spacing w:after="0" w:line="360" w:lineRule="auto"/>
        <w:ind w:left="0" w:leftChars="0" w:right="0" w:rightChars="0" w:firstLine="643" w:firstLineChars="200"/>
        <w:jc w:val="both"/>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b/>
          <w:bCs/>
          <w:sz w:val="32"/>
          <w:szCs w:val="32"/>
          <w:highlight w:val="none"/>
          <w:u w:val="none"/>
        </w:rPr>
        <w:t>第十二条</w:t>
      </w:r>
      <w:r>
        <w:rPr>
          <w:rFonts w:hint="eastAsia" w:ascii="Times New Roman" w:hAnsi="Times New Roman" w:eastAsia="仿宋_GB2312" w:cs="仿宋_GB2312"/>
          <w:sz w:val="32"/>
          <w:szCs w:val="32"/>
          <w:highlight w:val="none"/>
          <w:u w:val="none"/>
        </w:rPr>
        <w:t xml:space="preserve"> 按照个人培养计划规定的课程，课程总成绩（B1）=学位课程加权平均成绩×70%+非学位课程加权平均成绩×30%，所有成绩以第一次考核成绩计。英语水平（B2）:CET6成绩425分及以上计5分，CET4成绩425分及以上计3分（不重复加分）。</w:t>
      </w:r>
    </w:p>
    <w:p>
      <w:pPr>
        <w:keepNext w:val="0"/>
        <w:keepLines w:val="0"/>
        <w:pageBreakBefore w:val="0"/>
        <w:widowControl/>
        <w:kinsoku/>
        <w:wordWrap/>
        <w:overflowPunct/>
        <w:topLinePunct w:val="0"/>
        <w:autoSpaceDE/>
        <w:autoSpaceDN/>
        <w:bidi w:val="0"/>
        <w:spacing w:after="0" w:line="360" w:lineRule="auto"/>
        <w:ind w:left="0" w:leftChars="0" w:right="0" w:rightChars="0" w:firstLine="643" w:firstLineChars="200"/>
        <w:jc w:val="both"/>
        <w:textAlignment w:val="auto"/>
        <w:outlineLvl w:val="9"/>
        <w:rPr>
          <w:rFonts w:hint="eastAsia" w:ascii="Times New Roman" w:hAnsi="Times New Roman" w:eastAsia="仿宋_GB2312" w:cs="仿宋_GB2312"/>
          <w:sz w:val="32"/>
          <w:szCs w:val="32"/>
          <w:highlight w:val="none"/>
          <w:u w:val="none"/>
          <w:lang w:eastAsia="zh-CN"/>
        </w:rPr>
      </w:pPr>
      <w:r>
        <w:rPr>
          <w:rFonts w:hint="eastAsia" w:ascii="Times New Roman" w:hAnsi="Times New Roman" w:eastAsia="仿宋_GB2312" w:cs="仿宋_GB2312"/>
          <w:b/>
          <w:bCs/>
          <w:sz w:val="32"/>
          <w:szCs w:val="32"/>
          <w:highlight w:val="none"/>
          <w:u w:val="none"/>
        </w:rPr>
        <w:t>第十三条</w:t>
      </w:r>
      <w:r>
        <w:rPr>
          <w:rFonts w:hint="eastAsia" w:ascii="Times New Roman" w:hAnsi="Times New Roman" w:eastAsia="仿宋_GB2312" w:cs="仿宋_GB2312"/>
          <w:sz w:val="32"/>
          <w:szCs w:val="32"/>
          <w:highlight w:val="none"/>
          <w:u w:val="none"/>
        </w:rPr>
        <w:t xml:space="preserve"> 学习成绩得分B由“课程总成绩（B1）”和“英语水平（B2）”两项构成，即B= B1+ B2。本项最高得分为100分</w:t>
      </w:r>
      <w:r>
        <w:rPr>
          <w:rFonts w:hint="eastAsia" w:ascii="Times New Roman" w:hAnsi="Times New Roman" w:eastAsia="仿宋_GB2312" w:cs="仿宋_GB2312"/>
          <w:sz w:val="32"/>
          <w:szCs w:val="32"/>
          <w:highlight w:val="none"/>
          <w:u w:val="none"/>
          <w:lang w:eastAsia="zh-CN"/>
        </w:rPr>
        <w:t>。</w:t>
      </w:r>
    </w:p>
    <w:p>
      <w:pPr>
        <w:keepNext w:val="0"/>
        <w:keepLines w:val="0"/>
        <w:pageBreakBefore w:val="0"/>
        <w:widowControl/>
        <w:kinsoku/>
        <w:wordWrap/>
        <w:overflowPunct/>
        <w:topLinePunct w:val="0"/>
        <w:autoSpaceDE/>
        <w:autoSpaceDN/>
        <w:bidi w:val="0"/>
        <w:spacing w:after="0" w:line="36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highlight w:val="none"/>
          <w:u w:val="none"/>
          <w:lang w:eastAsia="zh-CN"/>
        </w:rPr>
      </w:pP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jc w:val="center"/>
        <w:textAlignment w:val="auto"/>
        <w:outlineLvl w:val="9"/>
        <w:rPr>
          <w:rFonts w:hint="eastAsia" w:ascii="Times New Roman" w:hAnsi="Times New Roman" w:eastAsia="仿宋_GB2312" w:cs="仿宋_GB2312"/>
          <w:b/>
          <w:bCs/>
          <w:kern w:val="2"/>
          <w:sz w:val="32"/>
          <w:szCs w:val="32"/>
          <w:highlight w:val="none"/>
          <w:u w:val="none"/>
        </w:rPr>
      </w:pPr>
      <w:r>
        <w:rPr>
          <w:rFonts w:hint="eastAsia" w:ascii="Times New Roman" w:hAnsi="Times New Roman" w:eastAsia="仿宋_GB2312" w:cs="仿宋_GB2312"/>
          <w:b/>
          <w:bCs/>
          <w:kern w:val="2"/>
          <w:sz w:val="32"/>
          <w:szCs w:val="32"/>
          <w:highlight w:val="none"/>
          <w:u w:val="none"/>
        </w:rPr>
        <w:t>第五章 科研成果评定</w:t>
      </w:r>
    </w:p>
    <w:p>
      <w:pPr>
        <w:keepNext w:val="0"/>
        <w:keepLines w:val="0"/>
        <w:pageBreakBefore w:val="0"/>
        <w:widowControl/>
        <w:kinsoku/>
        <w:wordWrap/>
        <w:overflowPunct/>
        <w:topLinePunct w:val="0"/>
        <w:autoSpaceDE/>
        <w:autoSpaceDN/>
        <w:bidi w:val="0"/>
        <w:spacing w:after="0" w:line="360" w:lineRule="auto"/>
        <w:ind w:left="0" w:leftChars="0" w:right="0" w:rightChars="0" w:firstLine="643" w:firstLineChars="200"/>
        <w:jc w:val="both"/>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b/>
          <w:bCs/>
          <w:sz w:val="32"/>
          <w:szCs w:val="32"/>
          <w:highlight w:val="none"/>
          <w:u w:val="none"/>
        </w:rPr>
        <w:t>第十四条</w:t>
      </w:r>
      <w:r>
        <w:rPr>
          <w:rFonts w:hint="eastAsia" w:ascii="Times New Roman" w:hAnsi="Times New Roman" w:eastAsia="仿宋_GB2312" w:cs="仿宋_GB2312"/>
          <w:sz w:val="32"/>
          <w:szCs w:val="32"/>
          <w:highlight w:val="none"/>
          <w:u w:val="none"/>
        </w:rPr>
        <w:t xml:space="preserve"> 科学成果得分（C）由“发表论文得分（C1）”“专利得分（C2）”“成果获奖（政府奖）（C3）”和“成果登记（C4）”，即：C= C1+ C2+ C3+ C4。本项得分不设上限。</w:t>
      </w:r>
    </w:p>
    <w:p>
      <w:pPr>
        <w:keepNext w:val="0"/>
        <w:keepLines w:val="0"/>
        <w:pageBreakBefore w:val="0"/>
        <w:widowControl/>
        <w:kinsoku/>
        <w:wordWrap/>
        <w:overflowPunct/>
        <w:topLinePunct w:val="0"/>
        <w:autoSpaceDE/>
        <w:autoSpaceDN/>
        <w:bidi w:val="0"/>
        <w:spacing w:after="0" w:line="360" w:lineRule="auto"/>
        <w:ind w:left="0" w:leftChars="0" w:right="0" w:rightChars="0" w:firstLine="643" w:firstLineChars="200"/>
        <w:jc w:val="both"/>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b/>
          <w:bCs/>
          <w:sz w:val="32"/>
          <w:szCs w:val="32"/>
          <w:highlight w:val="none"/>
          <w:u w:val="none"/>
        </w:rPr>
        <w:t>第十五条</w:t>
      </w:r>
      <w:r>
        <w:rPr>
          <w:rFonts w:hint="eastAsia" w:ascii="Times New Roman" w:hAnsi="Times New Roman" w:eastAsia="仿宋_GB2312" w:cs="仿宋_GB2312"/>
          <w:sz w:val="32"/>
          <w:szCs w:val="32"/>
          <w:highlight w:val="none"/>
          <w:u w:val="none"/>
        </w:rPr>
        <w:t xml:space="preserve"> 发表论文得分C1的计算依据为：</w:t>
      </w:r>
    </w:p>
    <w:tbl>
      <w:tblPr>
        <w:tblStyle w:val="9"/>
        <w:tblW w:w="77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8"/>
        <w:gridCol w:w="1845"/>
        <w:gridCol w:w="2205"/>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8"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论文级别</w:t>
            </w:r>
          </w:p>
        </w:tc>
        <w:tc>
          <w:tcPr>
            <w:tcW w:w="1845"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一类</w:t>
            </w:r>
          </w:p>
        </w:tc>
        <w:tc>
          <w:tcPr>
            <w:tcW w:w="2205"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二类</w:t>
            </w:r>
          </w:p>
        </w:tc>
        <w:tc>
          <w:tcPr>
            <w:tcW w:w="2055"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三类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8"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奖励分值</w:t>
            </w:r>
          </w:p>
        </w:tc>
        <w:tc>
          <w:tcPr>
            <w:tcW w:w="1845"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60</w:t>
            </w:r>
          </w:p>
        </w:tc>
        <w:tc>
          <w:tcPr>
            <w:tcW w:w="2205"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30</w:t>
            </w:r>
          </w:p>
        </w:tc>
        <w:tc>
          <w:tcPr>
            <w:tcW w:w="2055"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5</w:t>
            </w:r>
          </w:p>
        </w:tc>
      </w:tr>
    </w:tbl>
    <w:p>
      <w:pPr>
        <w:keepNext w:val="0"/>
        <w:keepLines w:val="0"/>
        <w:pageBreakBefore w:val="0"/>
        <w:widowControl/>
        <w:kinsoku/>
        <w:wordWrap/>
        <w:overflowPunct/>
        <w:topLinePunct w:val="0"/>
        <w:autoSpaceDE/>
        <w:autoSpaceDN/>
        <w:bidi w:val="0"/>
        <w:spacing w:after="0" w:line="36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注：</w:t>
      </w:r>
    </w:p>
    <w:p>
      <w:pPr>
        <w:keepNext w:val="0"/>
        <w:keepLines w:val="0"/>
        <w:pageBreakBefore w:val="0"/>
        <w:widowControl/>
        <w:kinsoku/>
        <w:wordWrap/>
        <w:overflowPunct/>
        <w:topLinePunct w:val="0"/>
        <w:autoSpaceDE/>
        <w:autoSpaceDN/>
        <w:bidi w:val="0"/>
        <w:spacing w:after="0" w:line="36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highlight w:val="none"/>
          <w:u w:val="none"/>
          <w:lang w:val="en-US" w:eastAsia="zh-CN"/>
        </w:rPr>
      </w:pPr>
      <w:r>
        <w:rPr>
          <w:rFonts w:hint="eastAsia" w:ascii="Times New Roman" w:hAnsi="Times New Roman" w:eastAsia="仿宋_GB2312" w:cs="仿宋_GB2312"/>
          <w:sz w:val="32"/>
          <w:szCs w:val="32"/>
          <w:highlight w:val="none"/>
          <w:u w:val="none"/>
        </w:rPr>
        <w:t>论文要求正式发表（二类及以上要求录用）的以我校为第一作者单位。三类论文最多计3篇代表作。</w:t>
      </w:r>
      <w:r>
        <w:rPr>
          <w:rFonts w:hint="eastAsia" w:ascii="Times New Roman" w:hAnsi="Times New Roman" w:eastAsia="仿宋_GB2312" w:cs="仿宋_GB2312"/>
          <w:sz w:val="32"/>
          <w:szCs w:val="32"/>
          <w:highlight w:val="none"/>
          <w:u w:val="none"/>
          <w:lang w:val="en-US" w:eastAsia="zh-CN"/>
        </w:rPr>
        <w:t>被SCI、EI等收录的论文，以检索证明为准。</w:t>
      </w:r>
      <w:r>
        <w:rPr>
          <w:rFonts w:hint="eastAsia" w:ascii="Times New Roman" w:hAnsi="Times New Roman" w:eastAsia="仿宋_GB2312" w:cs="仿宋_GB2312"/>
          <w:i w:val="0"/>
          <w:iCs w:val="0"/>
          <w:caps w:val="0"/>
          <w:color w:val="auto"/>
          <w:spacing w:val="0"/>
          <w:kern w:val="0"/>
          <w:sz w:val="32"/>
          <w:szCs w:val="32"/>
          <w:highlight w:val="none"/>
          <w:u w:val="none"/>
          <w:lang w:val="en-US" w:eastAsia="zh-CN" w:bidi="ar"/>
        </w:rPr>
        <w:t>其中，已录用但未被检索的论文需提供源刊证明。</w:t>
      </w:r>
    </w:p>
    <w:p>
      <w:pPr>
        <w:keepNext w:val="0"/>
        <w:keepLines w:val="0"/>
        <w:pageBreakBefore w:val="0"/>
        <w:widowControl/>
        <w:kinsoku/>
        <w:wordWrap/>
        <w:overflowPunct/>
        <w:topLinePunct w:val="0"/>
        <w:autoSpaceDE/>
        <w:autoSpaceDN/>
        <w:bidi w:val="0"/>
        <w:spacing w:after="0" w:line="360" w:lineRule="auto"/>
        <w:ind w:left="0" w:leftChars="0" w:right="0" w:rightChars="0" w:firstLine="643" w:firstLineChars="200"/>
        <w:jc w:val="both"/>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b/>
          <w:bCs/>
          <w:sz w:val="32"/>
          <w:szCs w:val="32"/>
          <w:highlight w:val="none"/>
          <w:u w:val="none"/>
        </w:rPr>
        <w:t>第十六条</w:t>
      </w:r>
      <w:r>
        <w:rPr>
          <w:rFonts w:hint="eastAsia" w:ascii="Times New Roman" w:hAnsi="Times New Roman" w:eastAsia="仿宋_GB2312" w:cs="仿宋_GB2312"/>
          <w:sz w:val="32"/>
          <w:szCs w:val="32"/>
          <w:highlight w:val="none"/>
          <w:u w:val="none"/>
        </w:rPr>
        <w:t xml:space="preserve"> 专利得分C2的计算依据为：</w:t>
      </w:r>
    </w:p>
    <w:tbl>
      <w:tblPr>
        <w:tblStyle w:val="9"/>
        <w:tblW w:w="8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1701"/>
        <w:gridCol w:w="1311"/>
        <w:gridCol w:w="1275"/>
        <w:gridCol w:w="2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专利类别</w:t>
            </w:r>
          </w:p>
        </w:tc>
        <w:tc>
          <w:tcPr>
            <w:tcW w:w="1701"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发明专利授权</w:t>
            </w:r>
          </w:p>
        </w:tc>
        <w:tc>
          <w:tcPr>
            <w:tcW w:w="1311"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实用新型</w:t>
            </w:r>
          </w:p>
        </w:tc>
        <w:tc>
          <w:tcPr>
            <w:tcW w:w="1275"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外观设计</w:t>
            </w:r>
          </w:p>
        </w:tc>
        <w:tc>
          <w:tcPr>
            <w:tcW w:w="2729"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发明专利进入实审阶段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奖励分值</w:t>
            </w:r>
          </w:p>
        </w:tc>
        <w:tc>
          <w:tcPr>
            <w:tcW w:w="1701"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40</w:t>
            </w:r>
          </w:p>
        </w:tc>
        <w:tc>
          <w:tcPr>
            <w:tcW w:w="1311"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5</w:t>
            </w:r>
          </w:p>
        </w:tc>
        <w:tc>
          <w:tcPr>
            <w:tcW w:w="1275"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2</w:t>
            </w:r>
          </w:p>
        </w:tc>
        <w:tc>
          <w:tcPr>
            <w:tcW w:w="2729"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10</w:t>
            </w:r>
          </w:p>
        </w:tc>
      </w:tr>
    </w:tbl>
    <w:p>
      <w:pPr>
        <w:keepNext w:val="0"/>
        <w:keepLines w:val="0"/>
        <w:pageBreakBefore w:val="0"/>
        <w:widowControl/>
        <w:kinsoku/>
        <w:wordWrap/>
        <w:overflowPunct/>
        <w:topLinePunct w:val="0"/>
        <w:autoSpaceDE/>
        <w:autoSpaceDN/>
        <w:bidi w:val="0"/>
        <w:spacing w:after="0" w:line="36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注：专利认定以专利证书为准，安徽工程大学为专利申请</w:t>
      </w:r>
      <w:r>
        <w:rPr>
          <w:rFonts w:hint="eastAsia" w:ascii="Times New Roman" w:hAnsi="Times New Roman" w:eastAsia="仿宋_GB2312" w:cs="仿宋_GB2312"/>
          <w:sz w:val="32"/>
          <w:szCs w:val="32"/>
          <w:highlight w:val="none"/>
          <w:u w:val="none"/>
          <w:lang w:val="en-US" w:eastAsia="zh-CN"/>
        </w:rPr>
        <w:t>单位</w:t>
      </w:r>
      <w:r>
        <w:rPr>
          <w:rFonts w:hint="eastAsia" w:ascii="Times New Roman" w:hAnsi="Times New Roman" w:eastAsia="仿宋_GB2312" w:cs="仿宋_GB2312"/>
          <w:sz w:val="32"/>
          <w:szCs w:val="32"/>
          <w:highlight w:val="none"/>
          <w:u w:val="none"/>
        </w:rPr>
        <w:t>。发明专利研究生为第一完成人或导师第一、研究生第二；实用新型和外观设计只计研究生为第一完成人且最多计3个代表作。</w:t>
      </w:r>
    </w:p>
    <w:p>
      <w:pPr>
        <w:keepNext w:val="0"/>
        <w:keepLines w:val="0"/>
        <w:pageBreakBefore w:val="0"/>
        <w:widowControl/>
        <w:kinsoku/>
        <w:wordWrap/>
        <w:overflowPunct/>
        <w:topLinePunct w:val="0"/>
        <w:autoSpaceDE/>
        <w:autoSpaceDN/>
        <w:bidi w:val="0"/>
        <w:spacing w:after="0" w:line="360" w:lineRule="auto"/>
        <w:ind w:left="0" w:leftChars="0" w:right="0" w:rightChars="0" w:firstLine="643" w:firstLineChars="200"/>
        <w:jc w:val="both"/>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b/>
          <w:bCs/>
          <w:sz w:val="32"/>
          <w:szCs w:val="32"/>
          <w:highlight w:val="none"/>
          <w:u w:val="none"/>
        </w:rPr>
        <w:t>第十七条</w:t>
      </w:r>
      <w:r>
        <w:rPr>
          <w:rFonts w:hint="eastAsia" w:ascii="Times New Roman" w:hAnsi="Times New Roman" w:eastAsia="仿宋_GB2312" w:cs="仿宋_GB2312"/>
          <w:sz w:val="32"/>
          <w:szCs w:val="32"/>
          <w:highlight w:val="none"/>
          <w:u w:val="none"/>
        </w:rPr>
        <w:t xml:space="preserve"> 成果获奖（政府奖）C3的计算依据为：</w:t>
      </w:r>
    </w:p>
    <w:p>
      <w:pPr>
        <w:keepNext w:val="0"/>
        <w:keepLines w:val="0"/>
        <w:pageBreakBefore w:val="0"/>
        <w:widowControl/>
        <w:kinsoku/>
        <w:wordWrap/>
        <w:overflowPunct/>
        <w:topLinePunct w:val="0"/>
        <w:autoSpaceDE/>
        <w:autoSpaceDN/>
        <w:bidi w:val="0"/>
        <w:spacing w:after="0" w:line="360" w:lineRule="auto"/>
        <w:ind w:left="0" w:leftChars="0" w:right="0" w:rightChars="0" w:firstLine="640" w:firstLineChars="200"/>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1. 成果奖</w:t>
      </w:r>
    </w:p>
    <w:tbl>
      <w:tblPr>
        <w:tblStyle w:val="9"/>
        <w:tblW w:w="6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p>
        </w:tc>
        <w:tc>
          <w:tcPr>
            <w:tcW w:w="1704"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一等奖</w:t>
            </w:r>
          </w:p>
        </w:tc>
        <w:tc>
          <w:tcPr>
            <w:tcW w:w="1704"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二等奖</w:t>
            </w:r>
          </w:p>
        </w:tc>
        <w:tc>
          <w:tcPr>
            <w:tcW w:w="1705"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二类</w:t>
            </w:r>
          </w:p>
        </w:tc>
        <w:tc>
          <w:tcPr>
            <w:tcW w:w="1704"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20</w:t>
            </w:r>
          </w:p>
        </w:tc>
        <w:tc>
          <w:tcPr>
            <w:tcW w:w="1704"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15</w:t>
            </w:r>
          </w:p>
        </w:tc>
        <w:tc>
          <w:tcPr>
            <w:tcW w:w="1705"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三类</w:t>
            </w:r>
          </w:p>
        </w:tc>
        <w:tc>
          <w:tcPr>
            <w:tcW w:w="1704"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12</w:t>
            </w:r>
          </w:p>
        </w:tc>
        <w:tc>
          <w:tcPr>
            <w:tcW w:w="1704"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10</w:t>
            </w:r>
          </w:p>
        </w:tc>
        <w:tc>
          <w:tcPr>
            <w:tcW w:w="1705"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8</w:t>
            </w:r>
          </w:p>
        </w:tc>
      </w:tr>
    </w:tbl>
    <w:p>
      <w:pPr>
        <w:keepNext w:val="0"/>
        <w:keepLines w:val="0"/>
        <w:pageBreakBefore w:val="0"/>
        <w:widowControl/>
        <w:kinsoku/>
        <w:wordWrap/>
        <w:overflowPunct/>
        <w:topLinePunct w:val="0"/>
        <w:autoSpaceDE/>
        <w:autoSpaceDN/>
        <w:bidi w:val="0"/>
        <w:spacing w:after="0" w:line="36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注：成果奖以获奖证书为准，并以安徽工程大学为获奖单位；获得一类奖，无需在学院排名，直接参加学校评审。</w:t>
      </w:r>
    </w:p>
    <w:p>
      <w:pPr>
        <w:keepNext w:val="0"/>
        <w:keepLines w:val="0"/>
        <w:pageBreakBefore w:val="0"/>
        <w:widowControl/>
        <w:kinsoku/>
        <w:wordWrap/>
        <w:overflowPunct/>
        <w:topLinePunct w:val="0"/>
        <w:autoSpaceDE/>
        <w:autoSpaceDN/>
        <w:bidi w:val="0"/>
        <w:spacing w:after="0" w:line="36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2. 政府立项或采纳的调研报告等，国家、省级、市政府采纳分别加分10、8、5分，需提供政府机构立项或采纳证明。</w:t>
      </w:r>
    </w:p>
    <w:p>
      <w:pPr>
        <w:keepNext w:val="0"/>
        <w:keepLines w:val="0"/>
        <w:pageBreakBefore w:val="0"/>
        <w:widowControl/>
        <w:kinsoku/>
        <w:wordWrap/>
        <w:overflowPunct/>
        <w:topLinePunct w:val="0"/>
        <w:autoSpaceDE/>
        <w:autoSpaceDN/>
        <w:bidi w:val="0"/>
        <w:spacing w:after="0" w:line="360" w:lineRule="auto"/>
        <w:ind w:left="0" w:leftChars="0" w:right="0" w:rightChars="0" w:firstLine="643" w:firstLineChars="200"/>
        <w:jc w:val="both"/>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b/>
          <w:bCs/>
          <w:sz w:val="32"/>
          <w:szCs w:val="32"/>
          <w:highlight w:val="none"/>
          <w:u w:val="none"/>
        </w:rPr>
        <w:t>第十八条</w:t>
      </w:r>
      <w:r>
        <w:rPr>
          <w:rFonts w:hint="eastAsia" w:ascii="Times New Roman" w:hAnsi="Times New Roman" w:eastAsia="仿宋_GB2312" w:cs="仿宋_GB2312"/>
          <w:sz w:val="32"/>
          <w:szCs w:val="32"/>
          <w:highlight w:val="none"/>
          <w:u w:val="none"/>
        </w:rPr>
        <w:t xml:space="preserve"> 成果登记C4的计算依据为：成果登记以证书为准，并以安徽工程大学为登记单位；每项加5分，限排名前5。</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jc w:val="center"/>
        <w:textAlignment w:val="auto"/>
        <w:outlineLvl w:val="9"/>
        <w:rPr>
          <w:rFonts w:hint="eastAsia" w:ascii="Times New Roman" w:hAnsi="Times New Roman" w:eastAsia="仿宋_GB2312" w:cs="仿宋_GB2312"/>
          <w:b/>
          <w:bCs/>
          <w:kern w:val="2"/>
          <w:sz w:val="32"/>
          <w:szCs w:val="32"/>
          <w:highlight w:val="none"/>
          <w:u w:val="none"/>
        </w:rPr>
      </w:pPr>
      <w:r>
        <w:rPr>
          <w:rFonts w:hint="eastAsia" w:ascii="Times New Roman" w:hAnsi="Times New Roman" w:eastAsia="仿宋_GB2312" w:cs="仿宋_GB2312"/>
          <w:b/>
          <w:bCs/>
          <w:kern w:val="2"/>
          <w:sz w:val="32"/>
          <w:szCs w:val="32"/>
          <w:highlight w:val="none"/>
          <w:u w:val="none"/>
        </w:rPr>
        <w:t>第六章 创新实践能力评定</w:t>
      </w:r>
    </w:p>
    <w:p>
      <w:pPr>
        <w:keepNext w:val="0"/>
        <w:keepLines w:val="0"/>
        <w:pageBreakBefore w:val="0"/>
        <w:widowControl/>
        <w:kinsoku/>
        <w:wordWrap/>
        <w:overflowPunct/>
        <w:topLinePunct w:val="0"/>
        <w:autoSpaceDE/>
        <w:autoSpaceDN/>
        <w:bidi w:val="0"/>
        <w:spacing w:after="0" w:line="360" w:lineRule="auto"/>
        <w:ind w:left="0" w:leftChars="0" w:right="0" w:rightChars="0" w:firstLine="643" w:firstLineChars="200"/>
        <w:jc w:val="both"/>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b/>
          <w:bCs/>
          <w:sz w:val="32"/>
          <w:szCs w:val="32"/>
          <w:highlight w:val="none"/>
          <w:u w:val="none"/>
        </w:rPr>
        <w:t>第十九条</w:t>
      </w:r>
      <w:r>
        <w:rPr>
          <w:rFonts w:hint="eastAsia" w:ascii="Times New Roman" w:hAnsi="Times New Roman" w:eastAsia="仿宋_GB2312" w:cs="仿宋_GB2312"/>
          <w:sz w:val="32"/>
          <w:szCs w:val="32"/>
          <w:highlight w:val="none"/>
          <w:u w:val="none"/>
        </w:rPr>
        <w:t xml:space="preserve"> 创新实践能力得分（D）由“参加A类赛事得分（D1）”</w:t>
      </w:r>
      <w:r>
        <w:rPr>
          <w:rFonts w:hint="eastAsia" w:ascii="Times New Roman" w:hAnsi="Times New Roman" w:eastAsia="仿宋_GB2312" w:cs="仿宋_GB2312"/>
          <w:sz w:val="32"/>
          <w:szCs w:val="32"/>
          <w:highlight w:val="none"/>
          <w:u w:val="none"/>
          <w:lang w:eastAsia="zh-CN"/>
        </w:rPr>
        <w:t>“</w:t>
      </w:r>
      <w:r>
        <w:rPr>
          <w:rFonts w:hint="eastAsia" w:ascii="Times New Roman" w:hAnsi="Times New Roman" w:eastAsia="仿宋_GB2312" w:cs="仿宋_GB2312"/>
          <w:sz w:val="32"/>
          <w:szCs w:val="32"/>
          <w:highlight w:val="none"/>
          <w:u w:val="none"/>
        </w:rPr>
        <w:t>参加B类赛事得分（D2）”</w:t>
      </w:r>
      <w:r>
        <w:rPr>
          <w:rFonts w:hint="eastAsia" w:ascii="Times New Roman" w:hAnsi="Times New Roman" w:eastAsia="仿宋_GB2312" w:cs="仿宋_GB2312"/>
          <w:sz w:val="32"/>
          <w:szCs w:val="32"/>
          <w:highlight w:val="none"/>
          <w:u w:val="none"/>
          <w:lang w:eastAsia="zh-CN"/>
        </w:rPr>
        <w:t>“</w:t>
      </w:r>
      <w:r>
        <w:rPr>
          <w:rFonts w:hint="eastAsia" w:ascii="Times New Roman" w:hAnsi="Times New Roman" w:eastAsia="仿宋_GB2312" w:cs="仿宋_GB2312"/>
          <w:sz w:val="32"/>
          <w:szCs w:val="32"/>
          <w:highlight w:val="none"/>
          <w:u w:val="none"/>
        </w:rPr>
        <w:t xml:space="preserve"> 参加C类赛事得分（D3）”</w:t>
      </w:r>
      <w:r>
        <w:rPr>
          <w:rFonts w:hint="eastAsia" w:ascii="Times New Roman" w:hAnsi="Times New Roman" w:eastAsia="仿宋_GB2312" w:cs="仿宋_GB2312"/>
          <w:sz w:val="32"/>
          <w:szCs w:val="32"/>
          <w:highlight w:val="none"/>
          <w:u w:val="none"/>
          <w:lang w:eastAsia="zh-CN"/>
        </w:rPr>
        <w:t>“</w:t>
      </w:r>
      <w:r>
        <w:rPr>
          <w:rFonts w:hint="eastAsia" w:ascii="Times New Roman" w:hAnsi="Times New Roman" w:eastAsia="仿宋_GB2312" w:cs="仿宋_GB2312"/>
          <w:sz w:val="32"/>
          <w:szCs w:val="32"/>
          <w:highlight w:val="none"/>
          <w:u w:val="none"/>
        </w:rPr>
        <w:t xml:space="preserve"> 参加项目得分（D4）”</w:t>
      </w:r>
      <w:r>
        <w:rPr>
          <w:rFonts w:hint="eastAsia" w:ascii="Times New Roman" w:hAnsi="Times New Roman" w:eastAsia="仿宋_GB2312" w:cs="仿宋_GB2312"/>
          <w:sz w:val="32"/>
          <w:szCs w:val="32"/>
          <w:highlight w:val="none"/>
          <w:u w:val="none"/>
          <w:lang w:eastAsia="zh-CN"/>
        </w:rPr>
        <w:t>“</w:t>
      </w:r>
      <w:r>
        <w:rPr>
          <w:rFonts w:hint="eastAsia" w:ascii="Times New Roman" w:hAnsi="Times New Roman" w:eastAsia="仿宋_GB2312" w:cs="仿宋_GB2312"/>
          <w:sz w:val="32"/>
          <w:szCs w:val="32"/>
          <w:highlight w:val="none"/>
          <w:u w:val="none"/>
        </w:rPr>
        <w:t xml:space="preserve"> 参加学术交流得分（D5）”和</w:t>
      </w:r>
      <w:r>
        <w:rPr>
          <w:rFonts w:hint="eastAsia" w:ascii="Times New Roman" w:hAnsi="Times New Roman" w:eastAsia="仿宋_GB2312" w:cs="仿宋_GB2312"/>
          <w:sz w:val="32"/>
          <w:szCs w:val="32"/>
          <w:highlight w:val="none"/>
          <w:u w:val="none"/>
          <w:lang w:eastAsia="zh-CN"/>
        </w:rPr>
        <w:t>“</w:t>
      </w:r>
      <w:r>
        <w:rPr>
          <w:rFonts w:hint="eastAsia" w:ascii="Times New Roman" w:hAnsi="Times New Roman" w:eastAsia="仿宋_GB2312" w:cs="仿宋_GB2312"/>
          <w:sz w:val="32"/>
          <w:szCs w:val="32"/>
          <w:highlight w:val="none"/>
          <w:u w:val="none"/>
        </w:rPr>
        <w:t xml:space="preserve"> 出版学术专著（译著）（ D6）”，即D= D 1+ D2+ D3+ D4+ D5+ D6。本项得分不设上限。</w:t>
      </w:r>
    </w:p>
    <w:p>
      <w:pPr>
        <w:keepNext w:val="0"/>
        <w:keepLines w:val="0"/>
        <w:pageBreakBefore w:val="0"/>
        <w:widowControl/>
        <w:kinsoku/>
        <w:wordWrap/>
        <w:overflowPunct/>
        <w:topLinePunct w:val="0"/>
        <w:autoSpaceDE/>
        <w:autoSpaceDN/>
        <w:bidi w:val="0"/>
        <w:spacing w:after="0" w:line="36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1. 参加赛事得分的计算依据为：</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276"/>
        <w:gridCol w:w="1276"/>
        <w:gridCol w:w="1177"/>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p>
        </w:tc>
        <w:tc>
          <w:tcPr>
            <w:tcW w:w="1276"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特等奖</w:t>
            </w:r>
          </w:p>
        </w:tc>
        <w:tc>
          <w:tcPr>
            <w:tcW w:w="1276"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一等奖</w:t>
            </w:r>
          </w:p>
        </w:tc>
        <w:tc>
          <w:tcPr>
            <w:tcW w:w="1177"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二等奖</w:t>
            </w:r>
          </w:p>
        </w:tc>
        <w:tc>
          <w:tcPr>
            <w:tcW w:w="1421"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三等奖</w:t>
            </w:r>
          </w:p>
        </w:tc>
        <w:tc>
          <w:tcPr>
            <w:tcW w:w="1421"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成功</w:t>
            </w:r>
          </w:p>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参赛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A类赛事（D1）</w:t>
            </w:r>
          </w:p>
        </w:tc>
        <w:tc>
          <w:tcPr>
            <w:tcW w:w="1276"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50</w:t>
            </w:r>
          </w:p>
        </w:tc>
        <w:tc>
          <w:tcPr>
            <w:tcW w:w="1276"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30</w:t>
            </w:r>
          </w:p>
        </w:tc>
        <w:tc>
          <w:tcPr>
            <w:tcW w:w="1177"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20</w:t>
            </w:r>
          </w:p>
        </w:tc>
        <w:tc>
          <w:tcPr>
            <w:tcW w:w="1421"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15</w:t>
            </w:r>
          </w:p>
        </w:tc>
        <w:tc>
          <w:tcPr>
            <w:tcW w:w="1421"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bookmarkStart w:id="0" w:name="OLE_LINK2"/>
            <w:bookmarkStart w:id="1" w:name="OLE_LINK1"/>
            <w:r>
              <w:rPr>
                <w:rFonts w:hint="eastAsia" w:ascii="Times New Roman" w:hAnsi="Times New Roman" w:eastAsia="仿宋_GB2312" w:cs="仿宋_GB2312"/>
                <w:sz w:val="32"/>
                <w:szCs w:val="32"/>
                <w:highlight w:val="none"/>
                <w:u w:val="none"/>
              </w:rPr>
              <w:t>B类赛事</w:t>
            </w:r>
            <w:bookmarkEnd w:id="0"/>
            <w:bookmarkEnd w:id="1"/>
            <w:r>
              <w:rPr>
                <w:rFonts w:hint="eastAsia" w:ascii="Times New Roman" w:hAnsi="Times New Roman" w:eastAsia="仿宋_GB2312" w:cs="仿宋_GB2312"/>
                <w:sz w:val="32"/>
                <w:szCs w:val="32"/>
                <w:highlight w:val="none"/>
                <w:u w:val="none"/>
              </w:rPr>
              <w:t>（D2）</w:t>
            </w:r>
          </w:p>
        </w:tc>
        <w:tc>
          <w:tcPr>
            <w:tcW w:w="1276"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20</w:t>
            </w:r>
          </w:p>
        </w:tc>
        <w:tc>
          <w:tcPr>
            <w:tcW w:w="1276"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15</w:t>
            </w:r>
          </w:p>
        </w:tc>
        <w:tc>
          <w:tcPr>
            <w:tcW w:w="1177"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10</w:t>
            </w:r>
          </w:p>
        </w:tc>
        <w:tc>
          <w:tcPr>
            <w:tcW w:w="1421"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5</w:t>
            </w:r>
          </w:p>
        </w:tc>
        <w:tc>
          <w:tcPr>
            <w:tcW w:w="1421"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C类赛事（D3）</w:t>
            </w:r>
          </w:p>
        </w:tc>
        <w:tc>
          <w:tcPr>
            <w:tcW w:w="1276"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10</w:t>
            </w:r>
          </w:p>
        </w:tc>
        <w:tc>
          <w:tcPr>
            <w:tcW w:w="1276"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7</w:t>
            </w:r>
          </w:p>
        </w:tc>
        <w:tc>
          <w:tcPr>
            <w:tcW w:w="1177"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5</w:t>
            </w:r>
          </w:p>
        </w:tc>
        <w:tc>
          <w:tcPr>
            <w:tcW w:w="1421"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3</w:t>
            </w:r>
          </w:p>
        </w:tc>
        <w:tc>
          <w:tcPr>
            <w:tcW w:w="1421"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1</w:t>
            </w:r>
          </w:p>
        </w:tc>
      </w:tr>
    </w:tbl>
    <w:p>
      <w:pPr>
        <w:keepNext w:val="0"/>
        <w:keepLines w:val="0"/>
        <w:pageBreakBefore w:val="0"/>
        <w:widowControl/>
        <w:kinsoku/>
        <w:wordWrap/>
        <w:overflowPunct/>
        <w:topLinePunct w:val="0"/>
        <w:autoSpaceDE/>
        <w:autoSpaceDN/>
        <w:bidi w:val="0"/>
        <w:spacing w:after="0" w:line="360" w:lineRule="auto"/>
        <w:ind w:left="0" w:leftChars="0" w:right="0" w:rightChars="0" w:firstLine="640" w:firstLineChars="200"/>
        <w:jc w:val="both"/>
        <w:textAlignment w:val="auto"/>
        <w:outlineLvl w:val="9"/>
        <w:rPr>
          <w:rFonts w:hint="default" w:ascii="Times New Roman" w:hAnsi="Times New Roman" w:eastAsia="仿宋_GB2312" w:cs="仿宋_GB2312"/>
          <w:sz w:val="32"/>
          <w:szCs w:val="32"/>
          <w:highlight w:val="none"/>
          <w:u w:val="none"/>
          <w:lang w:val="en-US" w:eastAsia="zh-CN"/>
        </w:rPr>
      </w:pPr>
      <w:r>
        <w:rPr>
          <w:rFonts w:hint="eastAsia" w:ascii="Times New Roman" w:hAnsi="Times New Roman" w:eastAsia="仿宋_GB2312" w:cs="仿宋_GB2312"/>
          <w:sz w:val="32"/>
          <w:szCs w:val="32"/>
          <w:highlight w:val="none"/>
          <w:u w:val="none"/>
        </w:rPr>
        <w:t>赛事分类按照《安徽工程大学大学生学科与技能竞赛管理办法》（校教字〔20</w:t>
      </w:r>
      <w:r>
        <w:rPr>
          <w:rFonts w:hint="eastAsia" w:ascii="Times New Roman" w:hAnsi="Times New Roman" w:eastAsia="仿宋_GB2312" w:cs="仿宋_GB2312"/>
          <w:sz w:val="32"/>
          <w:szCs w:val="32"/>
          <w:highlight w:val="none"/>
          <w:u w:val="none"/>
          <w:lang w:val="en-US" w:eastAsia="zh-CN"/>
        </w:rPr>
        <w:t>21</w:t>
      </w:r>
      <w:r>
        <w:rPr>
          <w:rFonts w:hint="eastAsia" w:ascii="Times New Roman" w:hAnsi="Times New Roman" w:eastAsia="仿宋_GB2312" w:cs="仿宋_GB2312"/>
          <w:sz w:val="32"/>
          <w:szCs w:val="32"/>
          <w:highlight w:val="none"/>
          <w:u w:val="none"/>
        </w:rPr>
        <w:t>〕</w:t>
      </w:r>
      <w:r>
        <w:rPr>
          <w:rFonts w:hint="eastAsia" w:ascii="Times New Roman" w:hAnsi="Times New Roman" w:eastAsia="仿宋_GB2312" w:cs="仿宋_GB2312"/>
          <w:sz w:val="32"/>
          <w:szCs w:val="32"/>
          <w:highlight w:val="none"/>
          <w:u w:val="none"/>
          <w:lang w:val="en-US" w:eastAsia="zh-CN"/>
        </w:rPr>
        <w:t>63</w:t>
      </w:r>
      <w:r>
        <w:rPr>
          <w:rFonts w:hint="eastAsia" w:ascii="Times New Roman" w:hAnsi="Times New Roman" w:eastAsia="仿宋_GB2312" w:cs="仿宋_GB2312"/>
          <w:sz w:val="32"/>
          <w:szCs w:val="32"/>
          <w:highlight w:val="none"/>
          <w:u w:val="none"/>
        </w:rPr>
        <w:t>号）执行，并参考最新版的《安徽省大学生学科和技能竞赛部分A、B类项目列表</w:t>
      </w:r>
      <w:r>
        <w:rPr>
          <w:rFonts w:hint="eastAsia" w:ascii="Times New Roman" w:hAnsi="Times New Roman" w:eastAsia="仿宋_GB2312" w:cs="仿宋_GB2312"/>
          <w:sz w:val="32"/>
          <w:szCs w:val="32"/>
          <w:highlight w:val="none"/>
          <w:u w:val="none"/>
          <w:lang w:eastAsia="zh-CN"/>
        </w:rPr>
        <w:t>》</w:t>
      </w:r>
      <w:r>
        <w:rPr>
          <w:rFonts w:hint="eastAsia" w:ascii="Times New Roman" w:hAnsi="Times New Roman" w:eastAsia="仿宋_GB2312" w:cs="仿宋_GB2312"/>
          <w:sz w:val="32"/>
          <w:szCs w:val="32"/>
          <w:highlight w:val="none"/>
          <w:u w:val="none"/>
        </w:rPr>
        <w:t>执行。</w:t>
      </w:r>
      <w:r>
        <w:rPr>
          <w:rFonts w:hint="eastAsia" w:ascii="Times New Roman" w:hAnsi="Times New Roman" w:eastAsia="仿宋_GB2312" w:cs="仿宋_GB2312"/>
          <w:sz w:val="32"/>
          <w:szCs w:val="32"/>
          <w:highlight w:val="none"/>
          <w:u w:val="none"/>
          <w:lang w:val="en-US" w:eastAsia="zh-CN"/>
        </w:rPr>
        <w:t>除体育类团体、集体类技能竞赛项目，以该运动项目竞赛规程规定参赛人数为准，其他团体奖项（排名前三）计分。校级赛事由各学院酌情加分。</w:t>
      </w:r>
    </w:p>
    <w:p>
      <w:pPr>
        <w:keepNext w:val="0"/>
        <w:keepLines w:val="0"/>
        <w:pageBreakBefore w:val="0"/>
        <w:widowControl/>
        <w:kinsoku/>
        <w:wordWrap/>
        <w:overflowPunct/>
        <w:topLinePunct w:val="0"/>
        <w:autoSpaceDE/>
        <w:autoSpaceDN/>
        <w:bidi w:val="0"/>
        <w:spacing w:after="0" w:line="360" w:lineRule="auto"/>
        <w:ind w:left="0" w:leftChars="0" w:right="0" w:rightChars="0" w:firstLine="640" w:firstLineChars="200"/>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2. 参加项目得分D4的计算依据为：</w:t>
      </w:r>
    </w:p>
    <w:tbl>
      <w:tblPr>
        <w:tblStyle w:val="9"/>
        <w:tblW w:w="7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4"/>
        <w:gridCol w:w="1993"/>
        <w:gridCol w:w="2126"/>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4"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项目类别</w:t>
            </w:r>
          </w:p>
        </w:tc>
        <w:tc>
          <w:tcPr>
            <w:tcW w:w="1993"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二类及以上</w:t>
            </w:r>
          </w:p>
        </w:tc>
        <w:tc>
          <w:tcPr>
            <w:tcW w:w="2126"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三类</w:t>
            </w:r>
          </w:p>
        </w:tc>
        <w:tc>
          <w:tcPr>
            <w:tcW w:w="1797"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四类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4"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奖励加分</w:t>
            </w:r>
          </w:p>
        </w:tc>
        <w:tc>
          <w:tcPr>
            <w:tcW w:w="1993"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15</w:t>
            </w:r>
          </w:p>
        </w:tc>
        <w:tc>
          <w:tcPr>
            <w:tcW w:w="2126"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10</w:t>
            </w:r>
          </w:p>
        </w:tc>
        <w:tc>
          <w:tcPr>
            <w:tcW w:w="1797"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5</w:t>
            </w:r>
          </w:p>
        </w:tc>
      </w:tr>
    </w:tbl>
    <w:p>
      <w:pPr>
        <w:keepNext w:val="0"/>
        <w:keepLines w:val="0"/>
        <w:pageBreakBefore w:val="0"/>
        <w:widowControl/>
        <w:kinsoku/>
        <w:wordWrap/>
        <w:overflowPunct/>
        <w:topLinePunct w:val="0"/>
        <w:autoSpaceDE/>
        <w:autoSpaceDN/>
        <w:bidi w:val="0"/>
        <w:spacing w:after="0" w:line="36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注：主持学校研究生创新课题按参加三类项目计。</w:t>
      </w:r>
    </w:p>
    <w:p>
      <w:pPr>
        <w:keepNext w:val="0"/>
        <w:keepLines w:val="0"/>
        <w:pageBreakBefore w:val="0"/>
        <w:widowControl/>
        <w:kinsoku/>
        <w:wordWrap/>
        <w:overflowPunct/>
        <w:topLinePunct w:val="0"/>
        <w:autoSpaceDE/>
        <w:autoSpaceDN/>
        <w:bidi w:val="0"/>
        <w:spacing w:after="0" w:line="36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3. 出版学术专著（译著）D5的计算依据为：</w:t>
      </w:r>
    </w:p>
    <w:p>
      <w:pPr>
        <w:keepNext w:val="0"/>
        <w:keepLines w:val="0"/>
        <w:pageBreakBefore w:val="0"/>
        <w:widowControl/>
        <w:kinsoku/>
        <w:wordWrap/>
        <w:overflowPunct/>
        <w:topLinePunct w:val="0"/>
        <w:autoSpaceDE/>
        <w:autoSpaceDN/>
        <w:bidi w:val="0"/>
        <w:spacing w:after="0" w:line="36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lang w:val="en-US" w:eastAsia="zh-CN"/>
        </w:rPr>
        <w:t>以</w:t>
      </w:r>
      <w:r>
        <w:rPr>
          <w:rFonts w:hint="eastAsia" w:ascii="Times New Roman" w:hAnsi="Times New Roman" w:eastAsia="仿宋_GB2312" w:cs="仿宋_GB2312"/>
          <w:sz w:val="32"/>
          <w:szCs w:val="32"/>
          <w:highlight w:val="none"/>
          <w:u w:val="none"/>
        </w:rPr>
        <w:t>学校作为完成单位，独自出版学术专著者计50分；参加翻译学术专著达5万字以上、2万至5万字分别计3分，1分，参加编著学术著作达10万字以上、5万至10万字、2万至5万字分别计5分、3分、1分。</w:t>
      </w:r>
    </w:p>
    <w:p>
      <w:pPr>
        <w:keepNext w:val="0"/>
        <w:keepLines w:val="0"/>
        <w:pageBreakBefore w:val="0"/>
        <w:widowControl/>
        <w:kinsoku/>
        <w:wordWrap/>
        <w:overflowPunct/>
        <w:topLinePunct w:val="0"/>
        <w:autoSpaceDE/>
        <w:autoSpaceDN/>
        <w:bidi w:val="0"/>
        <w:spacing w:after="0" w:line="36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4. 参加学术交流得分D6的计算依据为：</w:t>
      </w:r>
    </w:p>
    <w:p>
      <w:pPr>
        <w:keepNext w:val="0"/>
        <w:keepLines w:val="0"/>
        <w:pageBreakBefore w:val="0"/>
        <w:widowControl/>
        <w:kinsoku/>
        <w:wordWrap/>
        <w:overflowPunct/>
        <w:topLinePunct w:val="0"/>
        <w:autoSpaceDE/>
        <w:autoSpaceDN/>
        <w:bidi w:val="0"/>
        <w:spacing w:after="0" w:line="36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参加国际会议，并有论文宣读的，奖励4分；参加国家、省级学会主办的学术会议，并有论文宣读的奖励3分；申请参加国外研修计划，完成并提供相关材料的，奖励4分；参加长三角研究生论坛并有论文宣读的奖励3分；参加安徽省研究生暑期学校的奖励2分；以上各学术交流若获得优秀论文或优秀学员称号的另外奖励2分。</w:t>
      </w:r>
    </w:p>
    <w:p>
      <w:pPr>
        <w:keepNext w:val="0"/>
        <w:keepLines w:val="0"/>
        <w:pageBreakBefore w:val="0"/>
        <w:widowControl/>
        <w:kinsoku/>
        <w:wordWrap/>
        <w:overflowPunct/>
        <w:topLinePunct w:val="0"/>
        <w:autoSpaceDE/>
        <w:autoSpaceDN/>
        <w:bidi w:val="0"/>
        <w:spacing w:after="0" w:line="36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5. 以上各加分项为同一项目获奖的只计最高级别。</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jc w:val="center"/>
        <w:textAlignment w:val="auto"/>
        <w:outlineLvl w:val="9"/>
        <w:rPr>
          <w:rFonts w:hint="eastAsia" w:ascii="Times New Roman" w:hAnsi="Times New Roman" w:eastAsia="仿宋_GB2312" w:cs="仿宋_GB2312"/>
          <w:b/>
          <w:bCs/>
          <w:kern w:val="2"/>
          <w:sz w:val="32"/>
          <w:szCs w:val="32"/>
          <w:highlight w:val="none"/>
          <w:u w:val="none"/>
        </w:rPr>
      </w:pPr>
      <w:r>
        <w:rPr>
          <w:rFonts w:hint="eastAsia" w:ascii="Times New Roman" w:hAnsi="Times New Roman" w:eastAsia="仿宋_GB2312" w:cs="仿宋_GB2312"/>
          <w:b/>
          <w:bCs/>
          <w:kern w:val="2"/>
          <w:sz w:val="32"/>
          <w:szCs w:val="32"/>
          <w:highlight w:val="none"/>
          <w:u w:val="none"/>
        </w:rPr>
        <w:t>第七章 附则</w:t>
      </w:r>
    </w:p>
    <w:p>
      <w:pPr>
        <w:keepNext w:val="0"/>
        <w:keepLines w:val="0"/>
        <w:pageBreakBefore w:val="0"/>
        <w:widowControl/>
        <w:kinsoku/>
        <w:wordWrap/>
        <w:overflowPunct/>
        <w:topLinePunct w:val="0"/>
        <w:autoSpaceDE/>
        <w:autoSpaceDN/>
        <w:bidi w:val="0"/>
        <w:spacing w:after="0" w:line="360" w:lineRule="auto"/>
        <w:ind w:left="0" w:leftChars="0" w:right="0" w:rightChars="0" w:firstLine="643" w:firstLineChars="200"/>
        <w:jc w:val="both"/>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b/>
          <w:bCs/>
          <w:sz w:val="32"/>
          <w:szCs w:val="32"/>
          <w:highlight w:val="none"/>
          <w:u w:val="none"/>
        </w:rPr>
        <w:t>第二十条</w:t>
      </w:r>
      <w:r>
        <w:rPr>
          <w:rFonts w:hint="eastAsia" w:ascii="Times New Roman" w:hAnsi="Times New Roman" w:eastAsia="仿宋_GB2312" w:cs="仿宋_GB2312"/>
          <w:sz w:val="32"/>
          <w:szCs w:val="32"/>
          <w:highlight w:val="none"/>
          <w:u w:val="none"/>
        </w:rPr>
        <w:t xml:space="preserve"> 各培养单位依据本办法制定评审细则，报校评审领导小组审核备案。如遇本办法规定未涉及的其他情况，由各培养单位评审委员会报校评审领导小组，由校评审领导小组讨论后提出处理意见。本办法经学校研究生国家奖学金领导小组审定后生效。</w:t>
      </w:r>
    </w:p>
    <w:p>
      <w:pPr>
        <w:keepNext w:val="0"/>
        <w:keepLines w:val="0"/>
        <w:pageBreakBefore w:val="0"/>
        <w:widowControl/>
        <w:kinsoku/>
        <w:wordWrap/>
        <w:overflowPunct/>
        <w:topLinePunct w:val="0"/>
        <w:autoSpaceDE/>
        <w:autoSpaceDN/>
        <w:bidi w:val="0"/>
        <w:spacing w:after="0" w:line="360" w:lineRule="auto"/>
        <w:ind w:left="0" w:leftChars="0" w:right="0" w:rightChars="0" w:firstLine="643" w:firstLineChars="200"/>
        <w:jc w:val="both"/>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b/>
          <w:bCs/>
          <w:sz w:val="32"/>
          <w:szCs w:val="32"/>
          <w:highlight w:val="none"/>
          <w:u w:val="none"/>
        </w:rPr>
        <w:t>第二十一条</w:t>
      </w:r>
      <w:r>
        <w:rPr>
          <w:rFonts w:hint="eastAsia" w:ascii="Times New Roman" w:hAnsi="Times New Roman" w:eastAsia="仿宋_GB2312" w:cs="仿宋_GB2312"/>
          <w:sz w:val="32"/>
          <w:szCs w:val="32"/>
          <w:highlight w:val="none"/>
          <w:u w:val="none"/>
        </w:rPr>
        <w:t xml:space="preserve"> 本办法自</w:t>
      </w:r>
      <w:r>
        <w:rPr>
          <w:rFonts w:hint="eastAsia" w:ascii="Times New Roman" w:hAnsi="Times New Roman" w:eastAsia="仿宋_GB2312" w:cs="仿宋_GB2312"/>
          <w:sz w:val="32"/>
          <w:szCs w:val="32"/>
          <w:highlight w:val="none"/>
          <w:u w:val="none"/>
          <w:lang w:val="en-US" w:eastAsia="zh-CN"/>
        </w:rPr>
        <w:t>文件公布之日起开始执行</w:t>
      </w:r>
      <w:r>
        <w:rPr>
          <w:rFonts w:hint="eastAsia" w:ascii="Times New Roman" w:hAnsi="Times New Roman" w:eastAsia="仿宋_GB2312" w:cs="仿宋_GB2312"/>
          <w:sz w:val="32"/>
          <w:szCs w:val="32"/>
          <w:highlight w:val="none"/>
          <w:u w:val="none"/>
        </w:rPr>
        <w:t>。本办法由校研究生国家奖学金领导小组负责解释。</w:t>
      </w:r>
    </w:p>
    <w:sectPr>
      <w:footerReference r:id="rId5" w:type="default"/>
      <w:pgSz w:w="11906" w:h="16838"/>
      <w:pgMar w:top="1134" w:right="1797" w:bottom="1361" w:left="1797"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mOTJlZDA3Zjc4MjBhMjZmNmU5ZGJlNzQ3YzQ5NTMifQ=="/>
  </w:docVars>
  <w:rsids>
    <w:rsidRoot w:val="00D31D50"/>
    <w:rsid w:val="00006865"/>
    <w:rsid w:val="00017486"/>
    <w:rsid w:val="000201FF"/>
    <w:rsid w:val="00022C15"/>
    <w:rsid w:val="00066C0A"/>
    <w:rsid w:val="00070E1D"/>
    <w:rsid w:val="000D1B0D"/>
    <w:rsid w:val="00103EF2"/>
    <w:rsid w:val="001118BF"/>
    <w:rsid w:val="00125512"/>
    <w:rsid w:val="00150EE2"/>
    <w:rsid w:val="001527E7"/>
    <w:rsid w:val="00157EB5"/>
    <w:rsid w:val="001666DC"/>
    <w:rsid w:val="001A037E"/>
    <w:rsid w:val="001C270D"/>
    <w:rsid w:val="001C6F64"/>
    <w:rsid w:val="001D4B8D"/>
    <w:rsid w:val="001E4D6A"/>
    <w:rsid w:val="00200406"/>
    <w:rsid w:val="00224FA6"/>
    <w:rsid w:val="00253F12"/>
    <w:rsid w:val="00260DFC"/>
    <w:rsid w:val="002653BC"/>
    <w:rsid w:val="002753BA"/>
    <w:rsid w:val="00277051"/>
    <w:rsid w:val="002809B3"/>
    <w:rsid w:val="00294C25"/>
    <w:rsid w:val="002B3938"/>
    <w:rsid w:val="002B5CEC"/>
    <w:rsid w:val="002C597C"/>
    <w:rsid w:val="002D6F1F"/>
    <w:rsid w:val="002E0206"/>
    <w:rsid w:val="002E0A37"/>
    <w:rsid w:val="002E4EFE"/>
    <w:rsid w:val="002F12B9"/>
    <w:rsid w:val="002F4CA2"/>
    <w:rsid w:val="003077E3"/>
    <w:rsid w:val="0032238D"/>
    <w:rsid w:val="00323B43"/>
    <w:rsid w:val="00344685"/>
    <w:rsid w:val="003529E0"/>
    <w:rsid w:val="00355797"/>
    <w:rsid w:val="003A5C4E"/>
    <w:rsid w:val="003B27CF"/>
    <w:rsid w:val="003B6A4B"/>
    <w:rsid w:val="003B7564"/>
    <w:rsid w:val="003D19BD"/>
    <w:rsid w:val="003D37D8"/>
    <w:rsid w:val="003F57A5"/>
    <w:rsid w:val="004013A1"/>
    <w:rsid w:val="004017F6"/>
    <w:rsid w:val="004019A9"/>
    <w:rsid w:val="00426133"/>
    <w:rsid w:val="00431DDC"/>
    <w:rsid w:val="004358AB"/>
    <w:rsid w:val="00444242"/>
    <w:rsid w:val="00491F5E"/>
    <w:rsid w:val="00493A2D"/>
    <w:rsid w:val="004B3F88"/>
    <w:rsid w:val="004D5D30"/>
    <w:rsid w:val="004E0572"/>
    <w:rsid w:val="004E51C1"/>
    <w:rsid w:val="004E5E2B"/>
    <w:rsid w:val="004E601E"/>
    <w:rsid w:val="004F5A8F"/>
    <w:rsid w:val="00503750"/>
    <w:rsid w:val="00506E25"/>
    <w:rsid w:val="0051197C"/>
    <w:rsid w:val="005176AB"/>
    <w:rsid w:val="00552BC7"/>
    <w:rsid w:val="00554FAA"/>
    <w:rsid w:val="00566BFF"/>
    <w:rsid w:val="00575AC8"/>
    <w:rsid w:val="005B1E50"/>
    <w:rsid w:val="005B5640"/>
    <w:rsid w:val="00605B75"/>
    <w:rsid w:val="00617779"/>
    <w:rsid w:val="00632DA1"/>
    <w:rsid w:val="00636D41"/>
    <w:rsid w:val="0064463E"/>
    <w:rsid w:val="00663973"/>
    <w:rsid w:val="00675A49"/>
    <w:rsid w:val="006C306A"/>
    <w:rsid w:val="006C7F1C"/>
    <w:rsid w:val="006D4937"/>
    <w:rsid w:val="006E4998"/>
    <w:rsid w:val="006F0A56"/>
    <w:rsid w:val="00703B93"/>
    <w:rsid w:val="00720EF2"/>
    <w:rsid w:val="00750ACE"/>
    <w:rsid w:val="007916EC"/>
    <w:rsid w:val="007E0E2E"/>
    <w:rsid w:val="007E50A9"/>
    <w:rsid w:val="007F1830"/>
    <w:rsid w:val="008067CE"/>
    <w:rsid w:val="00814825"/>
    <w:rsid w:val="00825F93"/>
    <w:rsid w:val="0085613F"/>
    <w:rsid w:val="008962D5"/>
    <w:rsid w:val="008B7726"/>
    <w:rsid w:val="008D25E2"/>
    <w:rsid w:val="008F18A5"/>
    <w:rsid w:val="00911AAE"/>
    <w:rsid w:val="009213AE"/>
    <w:rsid w:val="009318C0"/>
    <w:rsid w:val="00954364"/>
    <w:rsid w:val="00954F2C"/>
    <w:rsid w:val="0095536D"/>
    <w:rsid w:val="009622E3"/>
    <w:rsid w:val="00962D46"/>
    <w:rsid w:val="00965F16"/>
    <w:rsid w:val="009B0F39"/>
    <w:rsid w:val="009C0F8E"/>
    <w:rsid w:val="009E6D88"/>
    <w:rsid w:val="009F0375"/>
    <w:rsid w:val="00A626B2"/>
    <w:rsid w:val="00A65E78"/>
    <w:rsid w:val="00A93670"/>
    <w:rsid w:val="00AA123A"/>
    <w:rsid w:val="00AB19B4"/>
    <w:rsid w:val="00AC2234"/>
    <w:rsid w:val="00AE2844"/>
    <w:rsid w:val="00AF222E"/>
    <w:rsid w:val="00AF2803"/>
    <w:rsid w:val="00AF2967"/>
    <w:rsid w:val="00B04A0B"/>
    <w:rsid w:val="00B21B84"/>
    <w:rsid w:val="00B310F2"/>
    <w:rsid w:val="00B325BB"/>
    <w:rsid w:val="00B752D4"/>
    <w:rsid w:val="00B769BC"/>
    <w:rsid w:val="00B84261"/>
    <w:rsid w:val="00BA26ED"/>
    <w:rsid w:val="00BA7F25"/>
    <w:rsid w:val="00BB6DEC"/>
    <w:rsid w:val="00BC21F8"/>
    <w:rsid w:val="00C02120"/>
    <w:rsid w:val="00C120D5"/>
    <w:rsid w:val="00C2182C"/>
    <w:rsid w:val="00C347B8"/>
    <w:rsid w:val="00C41296"/>
    <w:rsid w:val="00C42501"/>
    <w:rsid w:val="00C42A27"/>
    <w:rsid w:val="00C96710"/>
    <w:rsid w:val="00CB0D19"/>
    <w:rsid w:val="00CB5E86"/>
    <w:rsid w:val="00CC58C3"/>
    <w:rsid w:val="00CD7AFE"/>
    <w:rsid w:val="00CE2FFD"/>
    <w:rsid w:val="00D074DD"/>
    <w:rsid w:val="00D31D50"/>
    <w:rsid w:val="00D41371"/>
    <w:rsid w:val="00D419AD"/>
    <w:rsid w:val="00D43852"/>
    <w:rsid w:val="00D93050"/>
    <w:rsid w:val="00DE785B"/>
    <w:rsid w:val="00E07707"/>
    <w:rsid w:val="00E26B67"/>
    <w:rsid w:val="00E2716A"/>
    <w:rsid w:val="00E3791E"/>
    <w:rsid w:val="00E40AA3"/>
    <w:rsid w:val="00E4420D"/>
    <w:rsid w:val="00E52111"/>
    <w:rsid w:val="00EA658F"/>
    <w:rsid w:val="00EF48DC"/>
    <w:rsid w:val="00EF729B"/>
    <w:rsid w:val="00F378CE"/>
    <w:rsid w:val="00F528AC"/>
    <w:rsid w:val="00F70E18"/>
    <w:rsid w:val="00FA1490"/>
    <w:rsid w:val="00FB4E39"/>
    <w:rsid w:val="00FB68FF"/>
    <w:rsid w:val="00FC2F62"/>
    <w:rsid w:val="00FC5035"/>
    <w:rsid w:val="00FC51BE"/>
    <w:rsid w:val="00FD1101"/>
    <w:rsid w:val="00FD45E6"/>
    <w:rsid w:val="00FE1180"/>
    <w:rsid w:val="00FE49C7"/>
    <w:rsid w:val="01065644"/>
    <w:rsid w:val="012D365F"/>
    <w:rsid w:val="01BB6549"/>
    <w:rsid w:val="02007E1F"/>
    <w:rsid w:val="02203EE5"/>
    <w:rsid w:val="036A227B"/>
    <w:rsid w:val="0535310A"/>
    <w:rsid w:val="059611F2"/>
    <w:rsid w:val="07FC2953"/>
    <w:rsid w:val="07FE753D"/>
    <w:rsid w:val="09D26061"/>
    <w:rsid w:val="09E6213C"/>
    <w:rsid w:val="0C7F4EB9"/>
    <w:rsid w:val="0E955ADA"/>
    <w:rsid w:val="0F927726"/>
    <w:rsid w:val="128B2671"/>
    <w:rsid w:val="12DA4400"/>
    <w:rsid w:val="133B718C"/>
    <w:rsid w:val="145958D9"/>
    <w:rsid w:val="17790FC8"/>
    <w:rsid w:val="17BF7CD5"/>
    <w:rsid w:val="17E86A50"/>
    <w:rsid w:val="183D2517"/>
    <w:rsid w:val="1D2B0BF0"/>
    <w:rsid w:val="1ED63AA6"/>
    <w:rsid w:val="1F200C3A"/>
    <w:rsid w:val="20CE6F00"/>
    <w:rsid w:val="21620BB1"/>
    <w:rsid w:val="221E0CC5"/>
    <w:rsid w:val="226A6B7E"/>
    <w:rsid w:val="228144B1"/>
    <w:rsid w:val="22B645B0"/>
    <w:rsid w:val="22BB723B"/>
    <w:rsid w:val="2400669D"/>
    <w:rsid w:val="24241890"/>
    <w:rsid w:val="28B27CB1"/>
    <w:rsid w:val="2BED37A2"/>
    <w:rsid w:val="2D7C293F"/>
    <w:rsid w:val="2D80355B"/>
    <w:rsid w:val="2E515963"/>
    <w:rsid w:val="2EDA4F9A"/>
    <w:rsid w:val="2F0D259F"/>
    <w:rsid w:val="2F0E0431"/>
    <w:rsid w:val="2F5352C4"/>
    <w:rsid w:val="300414D2"/>
    <w:rsid w:val="304C787A"/>
    <w:rsid w:val="31B934DF"/>
    <w:rsid w:val="32FF1BE1"/>
    <w:rsid w:val="33F7369D"/>
    <w:rsid w:val="341D326A"/>
    <w:rsid w:val="356A514B"/>
    <w:rsid w:val="3649642D"/>
    <w:rsid w:val="36911A2F"/>
    <w:rsid w:val="372D232C"/>
    <w:rsid w:val="383529B9"/>
    <w:rsid w:val="38850F61"/>
    <w:rsid w:val="3956413E"/>
    <w:rsid w:val="3A2711F8"/>
    <w:rsid w:val="3BE021C1"/>
    <w:rsid w:val="3E187F82"/>
    <w:rsid w:val="3F6F342F"/>
    <w:rsid w:val="40C6671E"/>
    <w:rsid w:val="40CD4033"/>
    <w:rsid w:val="421E32C2"/>
    <w:rsid w:val="42C615B8"/>
    <w:rsid w:val="448D3647"/>
    <w:rsid w:val="49071F19"/>
    <w:rsid w:val="49CB28BC"/>
    <w:rsid w:val="4AC942CC"/>
    <w:rsid w:val="4D383FF5"/>
    <w:rsid w:val="4E5B174E"/>
    <w:rsid w:val="4EAF1A9A"/>
    <w:rsid w:val="4EE71234"/>
    <w:rsid w:val="50F7342F"/>
    <w:rsid w:val="517A4AAC"/>
    <w:rsid w:val="53FD5A90"/>
    <w:rsid w:val="54305934"/>
    <w:rsid w:val="5562051D"/>
    <w:rsid w:val="55895D76"/>
    <w:rsid w:val="57C66187"/>
    <w:rsid w:val="588F5026"/>
    <w:rsid w:val="58F85DEC"/>
    <w:rsid w:val="5D142CFB"/>
    <w:rsid w:val="5D451C39"/>
    <w:rsid w:val="5D816864"/>
    <w:rsid w:val="5EFE3E2C"/>
    <w:rsid w:val="60A26D69"/>
    <w:rsid w:val="616C7377"/>
    <w:rsid w:val="62EB3F46"/>
    <w:rsid w:val="64521367"/>
    <w:rsid w:val="66F573A9"/>
    <w:rsid w:val="6C4C0358"/>
    <w:rsid w:val="6D1A55DA"/>
    <w:rsid w:val="711F154F"/>
    <w:rsid w:val="74A52EA0"/>
    <w:rsid w:val="75431977"/>
    <w:rsid w:val="75621DC9"/>
    <w:rsid w:val="756E2546"/>
    <w:rsid w:val="76EB1EDC"/>
    <w:rsid w:val="775E1294"/>
    <w:rsid w:val="780B0DA9"/>
    <w:rsid w:val="78A80158"/>
    <w:rsid w:val="7C2D5C29"/>
    <w:rsid w:val="7CEF3B23"/>
    <w:rsid w:val="7D21159B"/>
    <w:rsid w:val="7DA22646"/>
    <w:rsid w:val="7F6F77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annotation text"/>
    <w:basedOn w:val="1"/>
    <w:link w:val="18"/>
    <w:unhideWhenUsed/>
    <w:qFormat/>
    <w:uiPriority w:val="99"/>
  </w:style>
  <w:style w:type="paragraph" w:styleId="3">
    <w:name w:val="Plain Text"/>
    <w:basedOn w:val="1"/>
    <w:link w:val="16"/>
    <w:qFormat/>
    <w:uiPriority w:val="0"/>
    <w:pPr>
      <w:widowControl w:val="0"/>
      <w:adjustRightInd/>
      <w:snapToGrid/>
      <w:spacing w:after="0"/>
      <w:jc w:val="both"/>
    </w:pPr>
    <w:rPr>
      <w:rFonts w:ascii="宋体" w:hAnsi="Courier New" w:eastAsia="宋体" w:cs="Courier New"/>
      <w:kern w:val="2"/>
      <w:sz w:val="21"/>
      <w:szCs w:val="21"/>
    </w:rPr>
  </w:style>
  <w:style w:type="paragraph" w:styleId="4">
    <w:name w:val="Balloon Text"/>
    <w:basedOn w:val="1"/>
    <w:link w:val="17"/>
    <w:unhideWhenUsed/>
    <w:qFormat/>
    <w:uiPriority w:val="99"/>
    <w:pPr>
      <w:spacing w:after="0"/>
    </w:pPr>
    <w:rPr>
      <w:sz w:val="18"/>
      <w:szCs w:val="18"/>
    </w:rPr>
  </w:style>
  <w:style w:type="paragraph" w:styleId="5">
    <w:name w:val="footer"/>
    <w:basedOn w:val="1"/>
    <w:link w:val="15"/>
    <w:unhideWhenUsed/>
    <w:qFormat/>
    <w:uiPriority w:val="99"/>
    <w:pPr>
      <w:tabs>
        <w:tab w:val="center" w:pos="4153"/>
        <w:tab w:val="right" w:pos="8306"/>
      </w:tabs>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jc w:val="center"/>
    </w:pPr>
    <w:rPr>
      <w:sz w:val="18"/>
      <w:szCs w:val="18"/>
    </w:rPr>
  </w:style>
  <w:style w:type="paragraph" w:styleId="7">
    <w:name w:val="annotation subject"/>
    <w:basedOn w:val="2"/>
    <w:next w:val="2"/>
    <w:link w:val="19"/>
    <w:unhideWhenUsed/>
    <w:qFormat/>
    <w:uiPriority w:val="99"/>
    <w:rPr>
      <w:b/>
      <w:bCs/>
    </w:rPr>
  </w:style>
  <w:style w:type="table" w:styleId="9">
    <w:name w:val="Table Grid"/>
    <w:basedOn w:val="8"/>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annotation reference"/>
    <w:basedOn w:val="10"/>
    <w:unhideWhenUsed/>
    <w:qFormat/>
    <w:uiPriority w:val="99"/>
    <w:rPr>
      <w:sz w:val="21"/>
      <w:szCs w:val="21"/>
    </w:rPr>
  </w:style>
  <w:style w:type="paragraph" w:customStyle="1" w:styleId="13">
    <w:name w:val="List Paragraph"/>
    <w:basedOn w:val="1"/>
    <w:qFormat/>
    <w:uiPriority w:val="34"/>
    <w:pPr>
      <w:ind w:firstLine="420" w:firstLineChars="200"/>
    </w:pPr>
  </w:style>
  <w:style w:type="character" w:customStyle="1" w:styleId="14">
    <w:name w:val="页眉 字符"/>
    <w:basedOn w:val="10"/>
    <w:link w:val="6"/>
    <w:qFormat/>
    <w:uiPriority w:val="99"/>
    <w:rPr>
      <w:rFonts w:ascii="Tahoma" w:hAnsi="Tahoma"/>
      <w:sz w:val="18"/>
      <w:szCs w:val="18"/>
    </w:rPr>
  </w:style>
  <w:style w:type="character" w:customStyle="1" w:styleId="15">
    <w:name w:val="页脚 字符"/>
    <w:basedOn w:val="10"/>
    <w:link w:val="5"/>
    <w:qFormat/>
    <w:uiPriority w:val="99"/>
    <w:rPr>
      <w:rFonts w:ascii="Tahoma" w:hAnsi="Tahoma"/>
      <w:sz w:val="18"/>
      <w:szCs w:val="18"/>
    </w:rPr>
  </w:style>
  <w:style w:type="character" w:customStyle="1" w:styleId="16">
    <w:name w:val="纯文本 字符"/>
    <w:basedOn w:val="10"/>
    <w:link w:val="3"/>
    <w:qFormat/>
    <w:uiPriority w:val="0"/>
    <w:rPr>
      <w:rFonts w:ascii="宋体" w:hAnsi="Courier New" w:eastAsia="宋体" w:cs="Courier New"/>
      <w:kern w:val="2"/>
      <w:sz w:val="21"/>
      <w:szCs w:val="21"/>
    </w:rPr>
  </w:style>
  <w:style w:type="character" w:customStyle="1" w:styleId="17">
    <w:name w:val="批注框文本 字符"/>
    <w:basedOn w:val="10"/>
    <w:link w:val="4"/>
    <w:semiHidden/>
    <w:qFormat/>
    <w:uiPriority w:val="99"/>
    <w:rPr>
      <w:rFonts w:ascii="Tahoma" w:hAnsi="Tahoma"/>
      <w:sz w:val="18"/>
      <w:szCs w:val="18"/>
    </w:rPr>
  </w:style>
  <w:style w:type="character" w:customStyle="1" w:styleId="18">
    <w:name w:val="批注文字 字符"/>
    <w:basedOn w:val="10"/>
    <w:link w:val="2"/>
    <w:semiHidden/>
    <w:qFormat/>
    <w:uiPriority w:val="99"/>
    <w:rPr>
      <w:rFonts w:ascii="Tahoma" w:hAnsi="Tahoma"/>
    </w:rPr>
  </w:style>
  <w:style w:type="character" w:customStyle="1" w:styleId="19">
    <w:name w:val="批注主题 字符"/>
    <w:basedOn w:val="18"/>
    <w:link w:val="7"/>
    <w:semiHidden/>
    <w:qFormat/>
    <w:uiPriority w:val="99"/>
    <w:rPr>
      <w:rFonts w:ascii="Tahoma" w:hAnsi="Tahoma"/>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50D47F-733B-4318-AA6C-7BA303AC191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3800</Words>
  <Characters>4022</Characters>
  <Lines>22</Lines>
  <Paragraphs>6</Paragraphs>
  <TotalTime>7</TotalTime>
  <ScaleCrop>false</ScaleCrop>
  <LinksUpToDate>false</LinksUpToDate>
  <CharactersWithSpaces>4096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2016-06-01T09:20:00Z</dcterms:created>
  <dc:creator>Administrator</dc:creator>
  <cp:lastModifiedBy>苏霞</cp:lastModifiedBy>
  <cp:lastPrinted>2016-05-13T03:15:00Z</cp:lastPrinted>
  <dcterms:modified xsi:type="dcterms:W3CDTF">2023-11-10T09:22:49Z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4937FD70F725496C90996ECBEA5AE4FE_13</vt:lpwstr>
  </property>
</Properties>
</file>