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63" w:type="dxa"/>
        <w:jc w:val="center"/>
        <w:tblLayout w:type="autofit"/>
        <w:tblCellMar>
          <w:top w:w="0" w:type="dxa"/>
          <w:left w:w="108" w:type="dxa"/>
          <w:bottom w:w="0" w:type="dxa"/>
          <w:right w:w="108" w:type="dxa"/>
        </w:tblCellMar>
      </w:tblPr>
      <w:tblGrid>
        <w:gridCol w:w="880"/>
        <w:gridCol w:w="4000"/>
        <w:gridCol w:w="1700"/>
        <w:gridCol w:w="948"/>
        <w:gridCol w:w="851"/>
        <w:gridCol w:w="1984"/>
      </w:tblGrid>
      <w:tr>
        <w:tblPrEx>
          <w:tblCellMar>
            <w:top w:w="0" w:type="dxa"/>
            <w:left w:w="108" w:type="dxa"/>
            <w:bottom w:w="0" w:type="dxa"/>
            <w:right w:w="108" w:type="dxa"/>
          </w:tblCellMar>
        </w:tblPrEx>
        <w:trPr>
          <w:trHeight w:val="645" w:hRule="atLeast"/>
          <w:jc w:val="center"/>
        </w:trPr>
        <w:tc>
          <w:tcPr>
            <w:tcW w:w="10363" w:type="dxa"/>
            <w:gridSpan w:val="6"/>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2009年度科研项目立项清单</w:t>
            </w: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序号</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项目名称</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项目批号</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主持人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年度</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基金类别</w:t>
            </w:r>
          </w:p>
        </w:tc>
      </w:tr>
      <w:tr>
        <w:tblPrEx>
          <w:tblCellMar>
            <w:top w:w="0" w:type="dxa"/>
            <w:left w:w="108" w:type="dxa"/>
            <w:bottom w:w="0" w:type="dxa"/>
            <w:right w:w="108" w:type="dxa"/>
          </w:tblCellMar>
        </w:tblPrEx>
        <w:trPr>
          <w:trHeight w:val="97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w:t>
            </w:r>
          </w:p>
        </w:tc>
        <w:tc>
          <w:tcPr>
            <w:tcW w:w="400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机械化学条件下不同立体规整性的聚降冰片烯负载手性小分子催化的不对称</w:t>
            </w:r>
            <w:r>
              <w:rPr>
                <w:rFonts w:hint="default" w:ascii="Times New Roman" w:hAnsi="Times New Roman" w:eastAsia="宋体" w:cs="Times New Roman"/>
                <w:color w:val="000000"/>
                <w:kern w:val="0"/>
                <w:sz w:val="22"/>
              </w:rPr>
              <w:t>Michael</w:t>
            </w:r>
            <w:r>
              <w:rPr>
                <w:rFonts w:hint="default" w:ascii="Times New Roman" w:hAnsi="Times New Roman" w:eastAsia="宋体" w:cs="Times New Roman"/>
                <w:color w:val="000000"/>
                <w:kern w:val="0"/>
                <w:sz w:val="22"/>
              </w:rPr>
              <w:t>加成反应</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20902002</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张</w:t>
            </w:r>
            <w:r>
              <w:rPr>
                <w:rFonts w:hint="default" w:ascii="Times New Roman" w:hAnsi="Times New Roman" w:eastAsia="宋体" w:cs="Times New Roman"/>
                <w:color w:val="000000"/>
                <w:kern w:val="0"/>
                <w:sz w:val="22"/>
                <w:lang w:val="en-US" w:eastAsia="zh-CN"/>
              </w:rPr>
              <w:t xml:space="preserve"> </w:t>
            </w:r>
            <w:r>
              <w:rPr>
                <w:rFonts w:hint="default" w:ascii="Times New Roman" w:hAnsi="Times New Roman" w:eastAsia="宋体" w:cs="Times New Roman"/>
                <w:color w:val="000000"/>
                <w:kern w:val="0"/>
                <w:sz w:val="22"/>
              </w:rPr>
              <w:t>泽</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2009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利用选煤厂洗水系统实现焦化废水零排放新工艺基础研究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8040102002</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蔡昌凤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2009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省自然科学基金重点项目</w:t>
            </w: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八面沸石的改性及其催化苯乙烯氧气氧化合成环氧苯乙烷和苯甲醛的研究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KJ2009</w:t>
            </w:r>
            <w:bookmarkStart w:id="0" w:name="_GoBack"/>
            <w:bookmarkEnd w:id="0"/>
            <w:r>
              <w:rPr>
                <w:rFonts w:hint="default" w:ascii="Times New Roman" w:hAnsi="Times New Roman" w:eastAsia="宋体" w:cs="Times New Roman"/>
                <w:color w:val="000000"/>
                <w:kern w:val="0"/>
                <w:sz w:val="22"/>
              </w:rPr>
              <w:t>105</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张</w:t>
            </w:r>
            <w:r>
              <w:rPr>
                <w:rFonts w:hint="default" w:ascii="Times New Roman" w:hAnsi="Times New Roman" w:eastAsia="宋体" w:cs="Times New Roman"/>
                <w:color w:val="000000"/>
                <w:kern w:val="0"/>
                <w:sz w:val="22"/>
                <w:lang w:val="en-US" w:eastAsia="zh-CN"/>
              </w:rPr>
              <w:t xml:space="preserve">  </w:t>
            </w:r>
            <w:r>
              <w:rPr>
                <w:rFonts w:hint="default" w:ascii="Times New Roman" w:hAnsi="Times New Roman" w:eastAsia="宋体" w:cs="Times New Roman"/>
                <w:color w:val="000000"/>
                <w:kern w:val="0"/>
                <w:sz w:val="22"/>
              </w:rPr>
              <w:t>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2009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省高校自然科学研究项目</w:t>
            </w:r>
          </w:p>
        </w:tc>
      </w:tr>
      <w:tr>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稀土</w:t>
            </w:r>
            <w:r>
              <w:rPr>
                <w:rFonts w:hint="default" w:ascii="Times New Roman" w:hAnsi="Times New Roman" w:eastAsia="宋体" w:cs="Times New Roman"/>
                <w:color w:val="000000"/>
                <w:kern w:val="0"/>
                <w:sz w:val="22"/>
              </w:rPr>
              <w:t>Salamo</w:t>
            </w:r>
            <w:r>
              <w:rPr>
                <w:rFonts w:hint="default" w:ascii="Times New Roman" w:hAnsi="Times New Roman" w:eastAsia="宋体" w:cs="Times New Roman"/>
                <w:color w:val="000000"/>
                <w:kern w:val="0"/>
                <w:sz w:val="22"/>
              </w:rPr>
              <w:t>配合物近红外发光材料的设计合成及性能研究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KJ2009110</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丁玉洁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2009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省高校自然科学研究项目</w:t>
            </w: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几丁质酶对磷酸铵镁晶体生成的影响</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2009SQRZ093</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岳文瑾</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2009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省高校优秀青年基金</w:t>
            </w: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w:t>
            </w:r>
            <w:r>
              <w:rPr>
                <w:rFonts w:hint="default" w:ascii="Times New Roman" w:hAnsi="Times New Roman" w:eastAsia="宋体" w:cs="Times New Roman"/>
                <w:color w:val="000000"/>
                <w:kern w:val="0"/>
                <w:sz w:val="22"/>
              </w:rPr>
              <w:t>羟基全氢化恶唑并恶嗪在储存过程中的动力学研究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2009SQRZ096</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张荣莉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2009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省高校优秀青年基金</w:t>
            </w: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好氧颗粒污泥膜生物反应器</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芜科计[2009]190号</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唐</w:t>
            </w:r>
            <w:r>
              <w:rPr>
                <w:rFonts w:hint="default" w:ascii="Times New Roman" w:hAnsi="Times New Roman" w:eastAsia="宋体" w:cs="Times New Roman"/>
                <w:color w:val="000000"/>
                <w:kern w:val="0"/>
                <w:sz w:val="22"/>
                <w:lang w:val="en-US" w:eastAsia="zh-CN"/>
              </w:rPr>
              <w:t xml:space="preserve">  </w:t>
            </w:r>
            <w:r>
              <w:rPr>
                <w:rFonts w:hint="default" w:ascii="Times New Roman" w:hAnsi="Times New Roman" w:eastAsia="宋体" w:cs="Times New Roman"/>
                <w:color w:val="000000"/>
                <w:kern w:val="0"/>
                <w:sz w:val="22"/>
              </w:rPr>
              <w:t>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2009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芜湖市科技计划科研项目</w:t>
            </w: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8</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9</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10</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11</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12</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13</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14</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15</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16</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17</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64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18</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bl>
    <w:p/>
    <w:sectPr>
      <w:pgSz w:w="11906" w:h="16838"/>
      <w:pgMar w:top="1440" w:right="707" w:bottom="1440" w:left="4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67D1"/>
    <w:rsid w:val="0064444A"/>
    <w:rsid w:val="009067D1"/>
    <w:rsid w:val="00AF3E02"/>
    <w:rsid w:val="00C30ACE"/>
    <w:rsid w:val="7978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161</Words>
  <Characters>922</Characters>
  <Lines>7</Lines>
  <Paragraphs>2</Paragraphs>
  <TotalTime>0</TotalTime>
  <ScaleCrop>false</ScaleCrop>
  <LinksUpToDate>false</LinksUpToDate>
  <CharactersWithSpaces>1081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2016-05-25T01:31:00Z</dcterms:created>
  <dc:creator>Sky123.Org</dc:creator>
  <cp:lastModifiedBy>一剑倾城</cp:lastModifiedBy>
  <dcterms:modified xsi:type="dcterms:W3CDTF">2020-09-10T17:50:55Z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